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EF64D">
      <w:pPr>
        <w:spacing w:line="432" w:lineRule="atLeast"/>
        <w:jc w:val="left"/>
        <w:rPr>
          <w:rFonts w:hAnsi="黑体" w:eastAsia="黑体"/>
          <w:color w:val="000000"/>
          <w:kern w:val="0"/>
          <w:sz w:val="28"/>
          <w:szCs w:val="28"/>
        </w:rPr>
      </w:pPr>
      <w:r>
        <w:rPr>
          <w:rFonts w:hAnsi="黑体" w:eastAsia="黑体"/>
          <w:color w:val="000000"/>
          <w:kern w:val="0"/>
          <w:sz w:val="28"/>
          <w:szCs w:val="28"/>
        </w:rPr>
        <w:t>附件1：</w:t>
      </w:r>
    </w:p>
    <w:p w14:paraId="12424A41">
      <w:pPr>
        <w:spacing w:line="432" w:lineRule="atLeast"/>
        <w:rPr>
          <w:rFonts w:eastAsia="方正小标宋简体"/>
          <w:color w:val="000000"/>
          <w:kern w:val="0"/>
          <w:sz w:val="40"/>
          <w:szCs w:val="40"/>
        </w:rPr>
      </w:pPr>
      <w:r>
        <w:rPr>
          <w:rFonts w:hint="eastAsia" w:eastAsia="方正小标宋简体"/>
          <w:color w:val="000000"/>
          <w:kern w:val="0"/>
          <w:sz w:val="40"/>
          <w:szCs w:val="40"/>
          <w:lang w:val="en-US" w:eastAsia="zh-CN"/>
        </w:rPr>
        <w:t>2024年度</w:t>
      </w:r>
      <w:r>
        <w:rPr>
          <w:rFonts w:hint="eastAsia" w:eastAsia="方正小标宋简体"/>
          <w:color w:val="000000"/>
          <w:kern w:val="0"/>
          <w:sz w:val="40"/>
          <w:szCs w:val="40"/>
        </w:rPr>
        <w:t>规划编制经费</w:t>
      </w:r>
      <w:r>
        <w:rPr>
          <w:rFonts w:eastAsia="方正小标宋简体"/>
          <w:color w:val="000000"/>
          <w:kern w:val="0"/>
          <w:sz w:val="40"/>
          <w:szCs w:val="40"/>
        </w:rPr>
        <w:t>项目绩效自评表</w:t>
      </w:r>
    </w:p>
    <w:p w14:paraId="212860A7">
      <w:pPr>
        <w:spacing w:line="432" w:lineRule="atLeast"/>
        <w:rPr>
          <w:rFonts w:eastAsia="方正小标宋简体"/>
          <w:color w:val="000000"/>
          <w:kern w:val="0"/>
          <w:sz w:val="40"/>
          <w:szCs w:val="40"/>
        </w:rPr>
      </w:pPr>
    </w:p>
    <w:p w14:paraId="672024D2">
      <w:pPr>
        <w:jc w:val="left"/>
      </w:pPr>
      <w:r>
        <w:t>单位名称：</w:t>
      </w:r>
      <w:r>
        <w:rPr>
          <w:rFonts w:hint="eastAsia"/>
        </w:rPr>
        <w:t>东西湖区自然资源和城乡建设局</w:t>
      </w:r>
      <w:r>
        <w:rPr>
          <w:rFonts w:hint="eastAsia"/>
          <w:lang w:val="en-US" w:eastAsia="zh-CN"/>
        </w:rPr>
        <w:t xml:space="preserve">                </w:t>
      </w:r>
      <w:r>
        <w:t>填报日期：</w:t>
      </w:r>
      <w:r>
        <w:rPr>
          <w:rFonts w:hint="eastAsia"/>
        </w:rPr>
        <w:t xml:space="preserve"> </w:t>
      </w:r>
      <w:r>
        <w:rPr>
          <w:rFonts w:hint="eastAsia"/>
          <w:lang w:val="en-US" w:eastAsia="zh-CN"/>
        </w:rPr>
        <w:t>2025</w:t>
      </w:r>
      <w:r>
        <w:rPr>
          <w:rFonts w:hint="eastAsia"/>
        </w:rPr>
        <w:t>年</w:t>
      </w:r>
      <w:r>
        <w:rPr>
          <w:rFonts w:hint="eastAsia"/>
          <w:lang w:val="en-US" w:eastAsia="zh-CN"/>
        </w:rPr>
        <w:t>4</w:t>
      </w:r>
      <w:r>
        <w:rPr>
          <w:rFonts w:hint="eastAsia"/>
        </w:rPr>
        <w:t>月</w:t>
      </w:r>
      <w:r>
        <w:rPr>
          <w:rFonts w:hint="eastAsia"/>
          <w:lang w:val="en-US" w:eastAsia="zh-CN"/>
        </w:rPr>
        <w:t>14</w:t>
      </w:r>
      <w:r>
        <w:rPr>
          <w:rFonts w:hint="eastAsia"/>
        </w:rPr>
        <w:t>日</w:t>
      </w:r>
    </w:p>
    <w:tbl>
      <w:tblPr>
        <w:tblStyle w:val="4"/>
        <w:tblW w:w="9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1137"/>
        <w:gridCol w:w="1559"/>
        <w:gridCol w:w="874"/>
        <w:gridCol w:w="253"/>
        <w:gridCol w:w="773"/>
        <w:gridCol w:w="993"/>
        <w:gridCol w:w="283"/>
        <w:gridCol w:w="1276"/>
        <w:gridCol w:w="1012"/>
      </w:tblGrid>
      <w:tr w14:paraId="45066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06" w:type="dxa"/>
            <w:gridSpan w:val="2"/>
            <w:vAlign w:val="center"/>
          </w:tcPr>
          <w:p w14:paraId="081B928A">
            <w:r>
              <w:t>项目名称</w:t>
            </w:r>
          </w:p>
        </w:tc>
        <w:tc>
          <w:tcPr>
            <w:tcW w:w="7023" w:type="dxa"/>
            <w:gridSpan w:val="8"/>
            <w:vAlign w:val="center"/>
          </w:tcPr>
          <w:p w14:paraId="3C5CADF3">
            <w:r>
              <w:rPr>
                <w:rFonts w:hint="eastAsia"/>
              </w:rPr>
              <w:t>规划编制经费</w:t>
            </w:r>
          </w:p>
        </w:tc>
      </w:tr>
      <w:tr w14:paraId="6CE8D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06" w:type="dxa"/>
            <w:gridSpan w:val="2"/>
            <w:vAlign w:val="center"/>
          </w:tcPr>
          <w:p w14:paraId="74EDFD22">
            <w:r>
              <w:t>主管部门</w:t>
            </w:r>
          </w:p>
        </w:tc>
        <w:tc>
          <w:tcPr>
            <w:tcW w:w="2686" w:type="dxa"/>
            <w:gridSpan w:val="3"/>
            <w:vAlign w:val="center"/>
          </w:tcPr>
          <w:p w14:paraId="4A1FE32E">
            <w:r>
              <w:rPr>
                <w:rFonts w:hint="eastAsia"/>
              </w:rPr>
              <w:t>东西湖区自然资源和城乡建设局</w:t>
            </w:r>
          </w:p>
        </w:tc>
        <w:tc>
          <w:tcPr>
            <w:tcW w:w="1766" w:type="dxa"/>
            <w:gridSpan w:val="2"/>
            <w:vAlign w:val="center"/>
          </w:tcPr>
          <w:p w14:paraId="6807A3B7">
            <w:r>
              <w:t>项目实施单位</w:t>
            </w:r>
          </w:p>
        </w:tc>
        <w:tc>
          <w:tcPr>
            <w:tcW w:w="2571" w:type="dxa"/>
            <w:gridSpan w:val="3"/>
            <w:vAlign w:val="center"/>
          </w:tcPr>
          <w:p w14:paraId="2056B12C">
            <w:r>
              <w:t>　</w:t>
            </w:r>
            <w:r>
              <w:rPr>
                <w:rFonts w:hint="eastAsia"/>
              </w:rPr>
              <w:t>规划管理与交通市政科</w:t>
            </w:r>
          </w:p>
        </w:tc>
      </w:tr>
      <w:tr w14:paraId="0C8D7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06" w:type="dxa"/>
            <w:gridSpan w:val="2"/>
            <w:vAlign w:val="center"/>
          </w:tcPr>
          <w:p w14:paraId="6F3EC1C4">
            <w:r>
              <w:t>项目类别</w:t>
            </w:r>
          </w:p>
        </w:tc>
        <w:tc>
          <w:tcPr>
            <w:tcW w:w="7023" w:type="dxa"/>
            <w:gridSpan w:val="8"/>
            <w:vAlign w:val="center"/>
          </w:tcPr>
          <w:p w14:paraId="566F80C7">
            <w:pPr>
              <w:jc w:val="left"/>
            </w:pPr>
            <w:r>
              <w:t>1</w:t>
            </w:r>
            <w:r>
              <w:rPr>
                <w:rFonts w:hAnsi="宋体"/>
              </w:rPr>
              <w:t>、部门预算项目</w:t>
            </w:r>
            <w:r>
              <w:rPr>
                <w:rFonts w:hint="eastAsia" w:ascii="Segoe UI Symbol" w:hAnsi="Segoe UI Symbol" w:cs="Segoe UI Symbol"/>
                <w:lang w:eastAsia="zh-CN"/>
              </w:rPr>
              <w:t>☑</w:t>
            </w:r>
            <w:r>
              <w:t xml:space="preserve">   2</w:t>
            </w:r>
            <w:r>
              <w:rPr>
                <w:rFonts w:hAnsi="宋体"/>
              </w:rPr>
              <w:t>、区直专项</w:t>
            </w:r>
            <w:r>
              <w:rPr>
                <w:rFonts w:hint="eastAsia"/>
              </w:rPr>
              <w:t>□</w:t>
            </w:r>
          </w:p>
        </w:tc>
      </w:tr>
      <w:tr w14:paraId="2140E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06" w:type="dxa"/>
            <w:gridSpan w:val="2"/>
            <w:vAlign w:val="center"/>
          </w:tcPr>
          <w:p w14:paraId="177A26AB">
            <w:r>
              <w:t>项目属性</w:t>
            </w:r>
          </w:p>
        </w:tc>
        <w:tc>
          <w:tcPr>
            <w:tcW w:w="7023" w:type="dxa"/>
            <w:gridSpan w:val="8"/>
            <w:vAlign w:val="center"/>
          </w:tcPr>
          <w:p w14:paraId="12BB44D0">
            <w:pPr>
              <w:jc w:val="both"/>
            </w:pPr>
            <w:r>
              <w:t>1</w:t>
            </w:r>
            <w:r>
              <w:rPr>
                <w:rFonts w:hAnsi="宋体"/>
              </w:rPr>
              <w:t>、持续性项目</w:t>
            </w:r>
            <w:r>
              <w:rPr>
                <w:rFonts w:hint="eastAsia" w:hAnsi="宋体"/>
              </w:rPr>
              <w:t xml:space="preserve">  </w:t>
            </w:r>
            <w:r>
              <w:rPr>
                <w:rFonts w:hint="eastAsia" w:ascii="Segoe UI Symbol" w:hAnsi="Segoe UI Symbol" w:cs="Segoe UI Symbol"/>
                <w:lang w:eastAsia="zh-CN"/>
              </w:rPr>
              <w:t>☑</w:t>
            </w:r>
            <w:r>
              <w:t xml:space="preserve">   2</w:t>
            </w:r>
            <w:r>
              <w:rPr>
                <w:rFonts w:hAnsi="宋体"/>
              </w:rPr>
              <w:t>、新增性项目</w:t>
            </w:r>
            <w:r>
              <w:rPr>
                <w:rFonts w:hint="eastAsia"/>
              </w:rPr>
              <w:t>□</w:t>
            </w:r>
          </w:p>
        </w:tc>
      </w:tr>
      <w:tr w14:paraId="08D2D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06" w:type="dxa"/>
            <w:gridSpan w:val="2"/>
            <w:vAlign w:val="center"/>
          </w:tcPr>
          <w:p w14:paraId="2E4D8F07">
            <w:r>
              <w:t>项目类型</w:t>
            </w:r>
          </w:p>
        </w:tc>
        <w:tc>
          <w:tcPr>
            <w:tcW w:w="7023" w:type="dxa"/>
            <w:gridSpan w:val="8"/>
            <w:vAlign w:val="center"/>
          </w:tcPr>
          <w:p w14:paraId="73F1881B">
            <w:pPr>
              <w:jc w:val="both"/>
            </w:pPr>
            <w:r>
              <w:t>1</w:t>
            </w:r>
            <w:r>
              <w:rPr>
                <w:rFonts w:hAnsi="宋体"/>
              </w:rPr>
              <w:t>、常年性项目</w:t>
            </w:r>
            <w:r>
              <w:rPr>
                <w:rFonts w:hint="eastAsia" w:hAnsi="宋体"/>
              </w:rPr>
              <w:t xml:space="preserve">  </w:t>
            </w:r>
            <w:r>
              <w:rPr>
                <w:rFonts w:hint="eastAsia" w:ascii="Segoe UI Symbol" w:hAnsi="Segoe UI Symbol" w:cs="Segoe UI Symbol"/>
                <w:lang w:eastAsia="zh-CN"/>
              </w:rPr>
              <w:t>☑</w:t>
            </w:r>
            <w:r>
              <w:t xml:space="preserve">   2</w:t>
            </w:r>
            <w:r>
              <w:rPr>
                <w:rFonts w:hAnsi="宋体"/>
              </w:rPr>
              <w:t>、延续性项目</w:t>
            </w:r>
            <w:r>
              <w:rPr>
                <w:rFonts w:hint="eastAsia"/>
              </w:rPr>
              <w:t>□</w:t>
            </w:r>
            <w:r>
              <w:t xml:space="preserve">      3</w:t>
            </w:r>
            <w:r>
              <w:rPr>
                <w:rFonts w:hAnsi="宋体"/>
              </w:rPr>
              <w:t>、一次性项目</w:t>
            </w:r>
            <w:r>
              <w:rPr>
                <w:rFonts w:hint="eastAsia"/>
              </w:rPr>
              <w:t>□</w:t>
            </w:r>
          </w:p>
        </w:tc>
      </w:tr>
      <w:tr w14:paraId="1F022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06" w:type="dxa"/>
            <w:gridSpan w:val="2"/>
            <w:vMerge w:val="restart"/>
            <w:vAlign w:val="center"/>
          </w:tcPr>
          <w:p w14:paraId="7FF7E155">
            <w:r>
              <w:t>预算执行</w:t>
            </w:r>
          </w:p>
          <w:p w14:paraId="0A74092F">
            <w:r>
              <w:t>情况（万元）</w:t>
            </w:r>
          </w:p>
          <w:p w14:paraId="1A657D0E">
            <w:r>
              <w:t>（20分）</w:t>
            </w:r>
          </w:p>
        </w:tc>
        <w:tc>
          <w:tcPr>
            <w:tcW w:w="1559" w:type="dxa"/>
            <w:vAlign w:val="center"/>
          </w:tcPr>
          <w:p w14:paraId="4AC3B959"/>
        </w:tc>
        <w:tc>
          <w:tcPr>
            <w:tcW w:w="874" w:type="dxa"/>
            <w:vAlign w:val="center"/>
          </w:tcPr>
          <w:p w14:paraId="267D70C2">
            <w:r>
              <w:t>预算数（A）</w:t>
            </w:r>
          </w:p>
        </w:tc>
        <w:tc>
          <w:tcPr>
            <w:tcW w:w="1026" w:type="dxa"/>
            <w:gridSpan w:val="2"/>
            <w:vAlign w:val="center"/>
          </w:tcPr>
          <w:p w14:paraId="5A7EE105">
            <w:r>
              <w:t>执行数</w:t>
            </w:r>
          </w:p>
          <w:p w14:paraId="541F6C19">
            <w:r>
              <w:t>（B）</w:t>
            </w:r>
          </w:p>
        </w:tc>
        <w:tc>
          <w:tcPr>
            <w:tcW w:w="1276" w:type="dxa"/>
            <w:gridSpan w:val="2"/>
            <w:vAlign w:val="center"/>
          </w:tcPr>
          <w:p w14:paraId="2F430B57">
            <w:r>
              <w:t>执行率（B/A）</w:t>
            </w:r>
          </w:p>
        </w:tc>
        <w:tc>
          <w:tcPr>
            <w:tcW w:w="2288" w:type="dxa"/>
            <w:gridSpan w:val="2"/>
            <w:vAlign w:val="center"/>
          </w:tcPr>
          <w:p w14:paraId="50AC4BAA">
            <w:r>
              <w:t>得分</w:t>
            </w:r>
          </w:p>
          <w:p w14:paraId="5BE92929">
            <w:r>
              <w:t>（20分*执行率）</w:t>
            </w:r>
          </w:p>
        </w:tc>
      </w:tr>
      <w:tr w14:paraId="76000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06" w:type="dxa"/>
            <w:gridSpan w:val="2"/>
            <w:vMerge w:val="continue"/>
            <w:vAlign w:val="center"/>
          </w:tcPr>
          <w:p w14:paraId="6DE44168"/>
        </w:tc>
        <w:tc>
          <w:tcPr>
            <w:tcW w:w="1559" w:type="dxa"/>
            <w:vAlign w:val="center"/>
          </w:tcPr>
          <w:p w14:paraId="5EBD1180">
            <w:r>
              <w:t>年度财政</w:t>
            </w:r>
          </w:p>
          <w:p w14:paraId="275DEAC5">
            <w:r>
              <w:t>资金总额</w:t>
            </w:r>
          </w:p>
        </w:tc>
        <w:tc>
          <w:tcPr>
            <w:tcW w:w="874" w:type="dxa"/>
            <w:vAlign w:val="center"/>
          </w:tcPr>
          <w:p w14:paraId="12291848">
            <w:r>
              <w:rPr>
                <w:rFonts w:hint="eastAsia"/>
              </w:rPr>
              <w:t>2300</w:t>
            </w:r>
          </w:p>
        </w:tc>
        <w:tc>
          <w:tcPr>
            <w:tcW w:w="1026" w:type="dxa"/>
            <w:gridSpan w:val="2"/>
            <w:vAlign w:val="center"/>
          </w:tcPr>
          <w:p w14:paraId="571D61A5">
            <w:r>
              <w:rPr>
                <w:rFonts w:hint="eastAsia"/>
              </w:rPr>
              <w:t>1072.6</w:t>
            </w:r>
          </w:p>
        </w:tc>
        <w:tc>
          <w:tcPr>
            <w:tcW w:w="1276" w:type="dxa"/>
            <w:gridSpan w:val="2"/>
            <w:vAlign w:val="center"/>
          </w:tcPr>
          <w:p w14:paraId="1157DCE1">
            <w:r>
              <w:rPr>
                <w:rFonts w:hint="eastAsia"/>
              </w:rPr>
              <w:t>46.63%</w:t>
            </w:r>
          </w:p>
        </w:tc>
        <w:tc>
          <w:tcPr>
            <w:tcW w:w="2288" w:type="dxa"/>
            <w:gridSpan w:val="2"/>
            <w:vAlign w:val="center"/>
          </w:tcPr>
          <w:p w14:paraId="32BF7EFE">
            <w:r>
              <w:rPr>
                <w:rFonts w:hint="eastAsia"/>
              </w:rPr>
              <w:t>9.33</w:t>
            </w:r>
          </w:p>
        </w:tc>
      </w:tr>
      <w:tr w14:paraId="434A4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9" w:type="dxa"/>
            <w:vMerge w:val="restart"/>
            <w:vAlign w:val="center"/>
          </w:tcPr>
          <w:p w14:paraId="4F18910E">
            <w:r>
              <w:t>年度绩效目标</w:t>
            </w:r>
          </w:p>
          <w:p w14:paraId="10E2DFEF">
            <w:r>
              <w:t>（</w:t>
            </w:r>
            <w:r>
              <w:rPr>
                <w:sz w:val="20"/>
              </w:rPr>
              <w:t>80</w:t>
            </w:r>
            <w:r>
              <w:t>分）</w:t>
            </w:r>
          </w:p>
        </w:tc>
        <w:tc>
          <w:tcPr>
            <w:tcW w:w="1137" w:type="dxa"/>
            <w:vAlign w:val="center"/>
          </w:tcPr>
          <w:p w14:paraId="56A4ADAD">
            <w:r>
              <w:t>一级指标</w:t>
            </w:r>
          </w:p>
        </w:tc>
        <w:tc>
          <w:tcPr>
            <w:tcW w:w="1559" w:type="dxa"/>
            <w:vAlign w:val="center"/>
          </w:tcPr>
          <w:p w14:paraId="4B0C9B40">
            <w:r>
              <w:t>二级指标</w:t>
            </w:r>
          </w:p>
        </w:tc>
        <w:tc>
          <w:tcPr>
            <w:tcW w:w="1900" w:type="dxa"/>
            <w:gridSpan w:val="3"/>
            <w:vAlign w:val="center"/>
          </w:tcPr>
          <w:p w14:paraId="240D0175">
            <w:r>
              <w:t>三级指标</w:t>
            </w:r>
          </w:p>
        </w:tc>
        <w:tc>
          <w:tcPr>
            <w:tcW w:w="1276" w:type="dxa"/>
            <w:gridSpan w:val="2"/>
            <w:vAlign w:val="center"/>
          </w:tcPr>
          <w:p w14:paraId="355002FC">
            <w:r>
              <w:t>年初目标值（A）</w:t>
            </w:r>
          </w:p>
        </w:tc>
        <w:tc>
          <w:tcPr>
            <w:tcW w:w="1276" w:type="dxa"/>
            <w:vAlign w:val="center"/>
          </w:tcPr>
          <w:p w14:paraId="6A57A1FE">
            <w:r>
              <w:t>实际完成值（B）</w:t>
            </w:r>
          </w:p>
        </w:tc>
        <w:tc>
          <w:tcPr>
            <w:tcW w:w="1012" w:type="dxa"/>
            <w:vAlign w:val="center"/>
          </w:tcPr>
          <w:p w14:paraId="42868568">
            <w:r>
              <w:t>得分</w:t>
            </w:r>
          </w:p>
        </w:tc>
      </w:tr>
      <w:tr w14:paraId="556E9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069" w:type="dxa"/>
            <w:vMerge w:val="continue"/>
            <w:vAlign w:val="center"/>
          </w:tcPr>
          <w:p w14:paraId="4C3430D1"/>
        </w:tc>
        <w:tc>
          <w:tcPr>
            <w:tcW w:w="1137" w:type="dxa"/>
            <w:vMerge w:val="restart"/>
            <w:vAlign w:val="center"/>
          </w:tcPr>
          <w:p w14:paraId="724B87D3">
            <w:r>
              <w:t>产出指标</w:t>
            </w:r>
          </w:p>
          <w:p w14:paraId="561D371A">
            <w:r>
              <w:t>（</w:t>
            </w:r>
            <w:r>
              <w:rPr>
                <w:rFonts w:hint="eastAsia"/>
              </w:rPr>
              <w:t>40</w:t>
            </w:r>
            <w:r>
              <w:t>分）</w:t>
            </w:r>
          </w:p>
        </w:tc>
        <w:tc>
          <w:tcPr>
            <w:tcW w:w="1559" w:type="dxa"/>
            <w:vAlign w:val="center"/>
          </w:tcPr>
          <w:p w14:paraId="5017BE18">
            <w:r>
              <w:rPr>
                <w:rFonts w:hint="eastAsia"/>
              </w:rPr>
              <w:t>数量指标</w:t>
            </w:r>
          </w:p>
        </w:tc>
        <w:tc>
          <w:tcPr>
            <w:tcW w:w="1900" w:type="dxa"/>
            <w:gridSpan w:val="3"/>
            <w:vAlign w:val="center"/>
          </w:tcPr>
          <w:p w14:paraId="58D69CF7">
            <w:r>
              <w:rPr>
                <w:rFonts w:hint="eastAsia"/>
              </w:rPr>
              <w:t>规划编制数量</w:t>
            </w:r>
          </w:p>
        </w:tc>
        <w:tc>
          <w:tcPr>
            <w:tcW w:w="1276" w:type="dxa"/>
            <w:gridSpan w:val="2"/>
            <w:vAlign w:val="center"/>
          </w:tcPr>
          <w:p w14:paraId="2FFBCE2B">
            <w:pPr>
              <w:rPr>
                <w:rFonts w:hint="default" w:ascii="Times New Roman" w:hAnsi="Times New Roman" w:cs="Times New Roman"/>
                <w:sz w:val="21"/>
                <w:szCs w:val="21"/>
              </w:rPr>
            </w:pPr>
            <w:r>
              <w:rPr>
                <w:rFonts w:hint="default" w:ascii="Times New Roman" w:hAnsi="Times New Roman" w:cs="Times New Roman"/>
                <w:sz w:val="21"/>
                <w:szCs w:val="21"/>
              </w:rPr>
              <w:t>25</w:t>
            </w:r>
          </w:p>
        </w:tc>
        <w:tc>
          <w:tcPr>
            <w:tcW w:w="1276" w:type="dxa"/>
            <w:vAlign w:val="center"/>
          </w:tcPr>
          <w:p w14:paraId="7057A71E">
            <w:pPr>
              <w:rPr>
                <w:rFonts w:hint="default" w:ascii="Times New Roman" w:hAnsi="Times New Roman" w:cs="Times New Roman"/>
                <w:sz w:val="21"/>
                <w:szCs w:val="21"/>
              </w:rPr>
            </w:pPr>
            <w:r>
              <w:rPr>
                <w:rFonts w:hint="default" w:ascii="Times New Roman" w:hAnsi="Times New Roman" w:cs="Times New Roman"/>
                <w:sz w:val="21"/>
                <w:szCs w:val="21"/>
              </w:rPr>
              <w:t>18</w:t>
            </w:r>
          </w:p>
        </w:tc>
        <w:tc>
          <w:tcPr>
            <w:tcW w:w="1012" w:type="dxa"/>
            <w:vAlign w:val="center"/>
          </w:tcPr>
          <w:p w14:paraId="318E1BA5">
            <w:pPr>
              <w:rPr>
                <w:rFonts w:hint="default" w:ascii="Times New Roman" w:hAnsi="Times New Roman" w:cs="Times New Roman"/>
                <w:sz w:val="21"/>
                <w:szCs w:val="21"/>
              </w:rPr>
            </w:pPr>
            <w:r>
              <w:rPr>
                <w:rFonts w:hint="default" w:ascii="Times New Roman" w:hAnsi="Times New Roman" w:cs="Times New Roman"/>
                <w:sz w:val="21"/>
                <w:szCs w:val="21"/>
              </w:rPr>
              <w:t>14.4</w:t>
            </w:r>
          </w:p>
        </w:tc>
      </w:tr>
      <w:tr w14:paraId="3CD93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069" w:type="dxa"/>
            <w:vMerge w:val="continue"/>
            <w:vAlign w:val="center"/>
          </w:tcPr>
          <w:p w14:paraId="79421B36"/>
        </w:tc>
        <w:tc>
          <w:tcPr>
            <w:tcW w:w="1137" w:type="dxa"/>
            <w:vMerge w:val="continue"/>
            <w:vAlign w:val="center"/>
          </w:tcPr>
          <w:p w14:paraId="391C2B6A"/>
        </w:tc>
        <w:tc>
          <w:tcPr>
            <w:tcW w:w="1559" w:type="dxa"/>
            <w:vAlign w:val="center"/>
          </w:tcPr>
          <w:p w14:paraId="0CC74308">
            <w:r>
              <w:rPr>
                <w:rFonts w:hint="eastAsia"/>
              </w:rPr>
              <w:t>质量指标</w:t>
            </w:r>
          </w:p>
        </w:tc>
        <w:tc>
          <w:tcPr>
            <w:tcW w:w="1900" w:type="dxa"/>
            <w:gridSpan w:val="3"/>
            <w:vAlign w:val="center"/>
          </w:tcPr>
          <w:p w14:paraId="26552965">
            <w:r>
              <w:rPr>
                <w:rFonts w:hint="eastAsia"/>
              </w:rPr>
              <w:t>项目验收合格率</w:t>
            </w:r>
          </w:p>
        </w:tc>
        <w:tc>
          <w:tcPr>
            <w:tcW w:w="1276" w:type="dxa"/>
            <w:gridSpan w:val="2"/>
            <w:vAlign w:val="center"/>
          </w:tcPr>
          <w:p w14:paraId="254D17FE">
            <w:pPr>
              <w:rPr>
                <w:rFonts w:hint="default" w:ascii="Times New Roman" w:hAnsi="Times New Roman" w:cs="Times New Roman"/>
                <w:kern w:val="0"/>
                <w:sz w:val="21"/>
                <w:szCs w:val="21"/>
              </w:rPr>
            </w:pPr>
            <w:r>
              <w:rPr>
                <w:rFonts w:hint="default" w:ascii="Times New Roman" w:hAnsi="Times New Roman" w:cs="Times New Roman"/>
                <w:color w:val="000000"/>
                <w:kern w:val="0"/>
                <w:sz w:val="21"/>
                <w:szCs w:val="21"/>
              </w:rPr>
              <w:t>100%</w:t>
            </w:r>
          </w:p>
        </w:tc>
        <w:tc>
          <w:tcPr>
            <w:tcW w:w="1276" w:type="dxa"/>
            <w:vAlign w:val="center"/>
          </w:tcPr>
          <w:p w14:paraId="1566E86A">
            <w:pPr>
              <w:rPr>
                <w:rFonts w:hint="default" w:ascii="Times New Roman" w:hAnsi="Times New Roman" w:cs="Times New Roman"/>
                <w:sz w:val="21"/>
                <w:szCs w:val="21"/>
              </w:rPr>
            </w:pPr>
            <w:r>
              <w:rPr>
                <w:rFonts w:hint="default" w:ascii="Times New Roman" w:hAnsi="Times New Roman" w:cs="Times New Roman"/>
                <w:sz w:val="21"/>
                <w:szCs w:val="21"/>
              </w:rPr>
              <w:t>56%</w:t>
            </w:r>
          </w:p>
        </w:tc>
        <w:tc>
          <w:tcPr>
            <w:tcW w:w="1012" w:type="dxa"/>
            <w:vAlign w:val="center"/>
          </w:tcPr>
          <w:p w14:paraId="11C0483B">
            <w:pPr>
              <w:rPr>
                <w:rFonts w:hint="default" w:ascii="Times New Roman" w:hAnsi="Times New Roman" w:cs="Times New Roman"/>
                <w:sz w:val="21"/>
                <w:szCs w:val="21"/>
              </w:rPr>
            </w:pPr>
            <w:r>
              <w:rPr>
                <w:rFonts w:hint="default" w:ascii="Times New Roman" w:hAnsi="Times New Roman" w:cs="Times New Roman"/>
                <w:sz w:val="21"/>
                <w:szCs w:val="21"/>
              </w:rPr>
              <w:t>5.6</w:t>
            </w:r>
          </w:p>
        </w:tc>
      </w:tr>
      <w:tr w14:paraId="3CE3B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69" w:type="dxa"/>
            <w:vMerge w:val="continue"/>
            <w:vAlign w:val="center"/>
          </w:tcPr>
          <w:p w14:paraId="1708E76E"/>
        </w:tc>
        <w:tc>
          <w:tcPr>
            <w:tcW w:w="1137" w:type="dxa"/>
            <w:vMerge w:val="continue"/>
            <w:vAlign w:val="center"/>
          </w:tcPr>
          <w:p w14:paraId="3C97C804"/>
        </w:tc>
        <w:tc>
          <w:tcPr>
            <w:tcW w:w="1559" w:type="dxa"/>
            <w:vAlign w:val="center"/>
          </w:tcPr>
          <w:p w14:paraId="082A1B14">
            <w:r>
              <w:rPr>
                <w:rFonts w:hint="eastAsia"/>
              </w:rPr>
              <w:t>时效指标</w:t>
            </w:r>
          </w:p>
        </w:tc>
        <w:tc>
          <w:tcPr>
            <w:tcW w:w="1900" w:type="dxa"/>
            <w:gridSpan w:val="3"/>
            <w:vAlign w:val="center"/>
          </w:tcPr>
          <w:p w14:paraId="06281ACA">
            <w:r>
              <w:rPr>
                <w:rFonts w:hint="eastAsia"/>
              </w:rPr>
              <w:t>项目按计划完成率</w:t>
            </w:r>
          </w:p>
        </w:tc>
        <w:tc>
          <w:tcPr>
            <w:tcW w:w="1276" w:type="dxa"/>
            <w:gridSpan w:val="2"/>
            <w:vAlign w:val="center"/>
          </w:tcPr>
          <w:p w14:paraId="705C81A2">
            <w:pPr>
              <w:rPr>
                <w:rFonts w:hint="default" w:ascii="Times New Roman" w:hAnsi="Times New Roman" w:cs="Times New Roman"/>
                <w:kern w:val="0"/>
                <w:sz w:val="21"/>
                <w:szCs w:val="21"/>
              </w:rPr>
            </w:pPr>
            <w:r>
              <w:rPr>
                <w:rFonts w:hint="default" w:ascii="Times New Roman" w:hAnsi="Times New Roman" w:cs="Times New Roman"/>
                <w:color w:val="000000"/>
                <w:kern w:val="0"/>
                <w:sz w:val="21"/>
                <w:szCs w:val="21"/>
              </w:rPr>
              <w:t>100%</w:t>
            </w:r>
          </w:p>
        </w:tc>
        <w:tc>
          <w:tcPr>
            <w:tcW w:w="1276" w:type="dxa"/>
            <w:vAlign w:val="center"/>
          </w:tcPr>
          <w:p w14:paraId="5F2DCB94">
            <w:pPr>
              <w:rPr>
                <w:rFonts w:hint="default" w:ascii="Times New Roman" w:hAnsi="Times New Roman" w:cs="Times New Roman"/>
                <w:sz w:val="21"/>
                <w:szCs w:val="21"/>
              </w:rPr>
            </w:pPr>
            <w:r>
              <w:rPr>
                <w:rFonts w:hint="default" w:ascii="Times New Roman" w:hAnsi="Times New Roman" w:cs="Times New Roman"/>
                <w:sz w:val="21"/>
                <w:szCs w:val="21"/>
              </w:rPr>
              <w:t>72%</w:t>
            </w:r>
          </w:p>
        </w:tc>
        <w:tc>
          <w:tcPr>
            <w:tcW w:w="1012" w:type="dxa"/>
            <w:vAlign w:val="center"/>
          </w:tcPr>
          <w:p w14:paraId="51001394">
            <w:pPr>
              <w:rPr>
                <w:rFonts w:hint="default" w:ascii="Times New Roman" w:hAnsi="Times New Roman" w:cs="Times New Roman"/>
                <w:sz w:val="21"/>
                <w:szCs w:val="21"/>
              </w:rPr>
            </w:pPr>
            <w:r>
              <w:rPr>
                <w:rFonts w:hint="default" w:ascii="Times New Roman" w:hAnsi="Times New Roman" w:cs="Times New Roman"/>
                <w:sz w:val="21"/>
                <w:szCs w:val="21"/>
              </w:rPr>
              <w:t>7.2</w:t>
            </w:r>
          </w:p>
        </w:tc>
      </w:tr>
      <w:tr w14:paraId="59ABF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069" w:type="dxa"/>
            <w:vMerge w:val="continue"/>
            <w:vAlign w:val="center"/>
          </w:tcPr>
          <w:p w14:paraId="3ED6F54A"/>
        </w:tc>
        <w:tc>
          <w:tcPr>
            <w:tcW w:w="1137" w:type="dxa"/>
            <w:vMerge w:val="restart"/>
            <w:vAlign w:val="center"/>
          </w:tcPr>
          <w:p w14:paraId="117A1A07">
            <w:r>
              <w:t>效益指标</w:t>
            </w:r>
          </w:p>
          <w:p w14:paraId="7C4AC5CC">
            <w:r>
              <w:t>（</w:t>
            </w:r>
            <w:r>
              <w:rPr>
                <w:rFonts w:hint="eastAsia"/>
              </w:rPr>
              <w:t>30</w:t>
            </w:r>
            <w:r>
              <w:t>分）</w:t>
            </w:r>
          </w:p>
        </w:tc>
        <w:tc>
          <w:tcPr>
            <w:tcW w:w="1559" w:type="dxa"/>
            <w:vAlign w:val="center"/>
          </w:tcPr>
          <w:p w14:paraId="07A2C530">
            <w:r>
              <w:rPr>
                <w:rFonts w:hint="eastAsia"/>
              </w:rPr>
              <w:t>社会效益</w:t>
            </w:r>
            <w:bookmarkStart w:id="0" w:name="_GoBack"/>
            <w:bookmarkEnd w:id="0"/>
            <w:r>
              <w:rPr>
                <w:rFonts w:hint="eastAsia"/>
              </w:rPr>
              <w:t>指标</w:t>
            </w:r>
          </w:p>
        </w:tc>
        <w:tc>
          <w:tcPr>
            <w:tcW w:w="1900" w:type="dxa"/>
            <w:gridSpan w:val="3"/>
            <w:vAlign w:val="center"/>
          </w:tcPr>
          <w:p w14:paraId="51430B5A">
            <w:r>
              <w:t>为</w:t>
            </w:r>
            <w:r>
              <w:rPr>
                <w:rFonts w:hint="eastAsia"/>
              </w:rPr>
              <w:t>国土空间</w:t>
            </w:r>
            <w:r>
              <w:t>管理</w:t>
            </w:r>
            <w:r>
              <w:rPr>
                <w:rFonts w:hint="eastAsia"/>
              </w:rPr>
              <w:t>和审批</w:t>
            </w:r>
            <w:r>
              <w:t>提供</w:t>
            </w:r>
            <w:r>
              <w:rPr>
                <w:rFonts w:hint="eastAsia"/>
              </w:rPr>
              <w:t>支撑</w:t>
            </w:r>
          </w:p>
        </w:tc>
        <w:tc>
          <w:tcPr>
            <w:tcW w:w="1276" w:type="dxa"/>
            <w:gridSpan w:val="2"/>
            <w:vAlign w:val="center"/>
          </w:tcPr>
          <w:p w14:paraId="69545027">
            <w:pPr>
              <w:rPr>
                <w:rFonts w:hint="default" w:ascii="Times New Roman" w:hAnsi="Times New Roman" w:cs="Times New Roman"/>
                <w:sz w:val="21"/>
                <w:szCs w:val="21"/>
              </w:rPr>
            </w:pPr>
            <w:r>
              <w:rPr>
                <w:rFonts w:hint="default" w:ascii="Times New Roman" w:hAnsi="Times New Roman" w:cs="Times New Roman"/>
                <w:sz w:val="21"/>
                <w:szCs w:val="21"/>
              </w:rPr>
              <w:t>21</w:t>
            </w:r>
          </w:p>
        </w:tc>
        <w:tc>
          <w:tcPr>
            <w:tcW w:w="1276" w:type="dxa"/>
            <w:vAlign w:val="center"/>
          </w:tcPr>
          <w:p w14:paraId="219C567D">
            <w:pPr>
              <w:rPr>
                <w:rFonts w:hint="default" w:ascii="Times New Roman" w:hAnsi="Times New Roman" w:cs="Times New Roman"/>
                <w:sz w:val="21"/>
                <w:szCs w:val="21"/>
              </w:rPr>
            </w:pPr>
            <w:r>
              <w:rPr>
                <w:rFonts w:hint="default" w:ascii="Times New Roman" w:hAnsi="Times New Roman" w:cs="Times New Roman"/>
                <w:sz w:val="21"/>
                <w:szCs w:val="21"/>
              </w:rPr>
              <w:t>14</w:t>
            </w:r>
          </w:p>
        </w:tc>
        <w:tc>
          <w:tcPr>
            <w:tcW w:w="1012" w:type="dxa"/>
            <w:vAlign w:val="center"/>
          </w:tcPr>
          <w:p w14:paraId="709F37BD">
            <w:pPr>
              <w:rPr>
                <w:rFonts w:hint="default" w:ascii="Times New Roman" w:hAnsi="Times New Roman" w:cs="Times New Roman"/>
                <w:sz w:val="21"/>
                <w:szCs w:val="21"/>
              </w:rPr>
            </w:pPr>
            <w:r>
              <w:rPr>
                <w:rFonts w:hint="default" w:ascii="Times New Roman" w:hAnsi="Times New Roman" w:cs="Times New Roman"/>
                <w:sz w:val="21"/>
                <w:szCs w:val="21"/>
              </w:rPr>
              <w:t>10</w:t>
            </w:r>
          </w:p>
        </w:tc>
      </w:tr>
      <w:tr w14:paraId="4FACE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069" w:type="dxa"/>
            <w:vMerge w:val="continue"/>
            <w:vAlign w:val="center"/>
          </w:tcPr>
          <w:p w14:paraId="03280FBA"/>
        </w:tc>
        <w:tc>
          <w:tcPr>
            <w:tcW w:w="1137" w:type="dxa"/>
            <w:vMerge w:val="continue"/>
            <w:vAlign w:val="center"/>
          </w:tcPr>
          <w:p w14:paraId="7E7D3015"/>
        </w:tc>
        <w:tc>
          <w:tcPr>
            <w:tcW w:w="1559" w:type="dxa"/>
            <w:vAlign w:val="center"/>
          </w:tcPr>
          <w:p w14:paraId="3D6419EF">
            <w:r>
              <w:rPr>
                <w:rFonts w:hint="eastAsia" w:ascii="宋体" w:hAnsi="宋体" w:cs="宋体"/>
                <w:kern w:val="0"/>
              </w:rPr>
              <w:t>生态效益指标</w:t>
            </w:r>
          </w:p>
        </w:tc>
        <w:tc>
          <w:tcPr>
            <w:tcW w:w="1900" w:type="dxa"/>
            <w:gridSpan w:val="3"/>
            <w:vAlign w:val="center"/>
          </w:tcPr>
          <w:p w14:paraId="49374C6E">
            <w:r>
              <w:rPr>
                <w:rFonts w:hint="eastAsia"/>
              </w:rPr>
              <w:t>为生态保护和管理提供支撑</w:t>
            </w:r>
          </w:p>
        </w:tc>
        <w:tc>
          <w:tcPr>
            <w:tcW w:w="1276" w:type="dxa"/>
            <w:gridSpan w:val="2"/>
            <w:vAlign w:val="center"/>
          </w:tcPr>
          <w:p w14:paraId="006B35DB">
            <w:pPr>
              <w:rPr>
                <w:rFonts w:hint="default" w:ascii="Times New Roman" w:hAnsi="Times New Roman" w:cs="Times New Roman"/>
                <w:sz w:val="21"/>
                <w:szCs w:val="21"/>
              </w:rPr>
            </w:pPr>
            <w:r>
              <w:rPr>
                <w:rFonts w:hint="default" w:ascii="Times New Roman" w:hAnsi="Times New Roman" w:cs="Times New Roman"/>
                <w:sz w:val="21"/>
                <w:szCs w:val="21"/>
              </w:rPr>
              <w:t>4</w:t>
            </w:r>
          </w:p>
        </w:tc>
        <w:tc>
          <w:tcPr>
            <w:tcW w:w="1276" w:type="dxa"/>
            <w:vAlign w:val="center"/>
          </w:tcPr>
          <w:p w14:paraId="49D6D5A9">
            <w:pPr>
              <w:rPr>
                <w:rFonts w:hint="default" w:ascii="Times New Roman" w:hAnsi="Times New Roman" w:cs="Times New Roman"/>
                <w:sz w:val="21"/>
                <w:szCs w:val="21"/>
              </w:rPr>
            </w:pPr>
            <w:r>
              <w:rPr>
                <w:rFonts w:hint="default" w:ascii="Times New Roman" w:hAnsi="Times New Roman" w:cs="Times New Roman"/>
                <w:sz w:val="21"/>
                <w:szCs w:val="21"/>
              </w:rPr>
              <w:t>4</w:t>
            </w:r>
          </w:p>
        </w:tc>
        <w:tc>
          <w:tcPr>
            <w:tcW w:w="1012" w:type="dxa"/>
            <w:vAlign w:val="center"/>
          </w:tcPr>
          <w:p w14:paraId="1AB615A5">
            <w:pPr>
              <w:rPr>
                <w:rFonts w:hint="default" w:ascii="Times New Roman" w:hAnsi="Times New Roman" w:cs="Times New Roman"/>
                <w:sz w:val="21"/>
                <w:szCs w:val="21"/>
              </w:rPr>
            </w:pPr>
            <w:r>
              <w:rPr>
                <w:rFonts w:hint="default" w:ascii="Times New Roman" w:hAnsi="Times New Roman" w:cs="Times New Roman"/>
                <w:sz w:val="21"/>
                <w:szCs w:val="21"/>
              </w:rPr>
              <w:t>15</w:t>
            </w:r>
          </w:p>
        </w:tc>
      </w:tr>
      <w:tr w14:paraId="28D26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69" w:type="dxa"/>
            <w:vMerge w:val="continue"/>
            <w:vAlign w:val="center"/>
          </w:tcPr>
          <w:p w14:paraId="144588F2"/>
        </w:tc>
        <w:tc>
          <w:tcPr>
            <w:tcW w:w="1137" w:type="dxa"/>
            <w:vAlign w:val="center"/>
          </w:tcPr>
          <w:p w14:paraId="569F2B18">
            <w:r>
              <w:t>满意度指标</w:t>
            </w:r>
          </w:p>
          <w:p w14:paraId="0F861B4C">
            <w:r>
              <w:t>（</w:t>
            </w:r>
            <w:r>
              <w:rPr>
                <w:rFonts w:hint="eastAsia"/>
              </w:rPr>
              <w:t>10</w:t>
            </w:r>
            <w:r>
              <w:t>分）</w:t>
            </w:r>
          </w:p>
        </w:tc>
        <w:tc>
          <w:tcPr>
            <w:tcW w:w="1559" w:type="dxa"/>
            <w:vAlign w:val="center"/>
          </w:tcPr>
          <w:p w14:paraId="70F8646F">
            <w:r>
              <w:rPr>
                <w:rFonts w:hint="eastAsia"/>
              </w:rPr>
              <w:t>服务对象满意度指标</w:t>
            </w:r>
          </w:p>
        </w:tc>
        <w:tc>
          <w:tcPr>
            <w:tcW w:w="1900" w:type="dxa"/>
            <w:gridSpan w:val="3"/>
            <w:vAlign w:val="center"/>
          </w:tcPr>
          <w:p w14:paraId="4EE17370">
            <w:r>
              <w:rPr>
                <w:rFonts w:hint="eastAsia" w:ascii="宋体" w:hAnsi="宋体" w:cs="宋体"/>
                <w:kern w:val="0"/>
              </w:rPr>
              <w:t>规划咨询服务满意度</w:t>
            </w:r>
          </w:p>
        </w:tc>
        <w:tc>
          <w:tcPr>
            <w:tcW w:w="1276" w:type="dxa"/>
            <w:gridSpan w:val="2"/>
            <w:vAlign w:val="center"/>
          </w:tcPr>
          <w:p w14:paraId="4FC394B6">
            <w:pPr>
              <w:rPr>
                <w:rFonts w:hint="default" w:ascii="Times New Roman" w:hAnsi="Times New Roman" w:cs="Times New Roman"/>
                <w:sz w:val="21"/>
                <w:szCs w:val="21"/>
              </w:rPr>
            </w:pPr>
            <w:r>
              <w:rPr>
                <w:rFonts w:hint="eastAsia" w:cs="Times New Roman"/>
                <w:color w:val="000000"/>
                <w:kern w:val="0"/>
                <w:sz w:val="21"/>
                <w:szCs w:val="21"/>
                <w:lang w:val="en-US" w:eastAsia="zh-CN"/>
              </w:rPr>
              <w:t>≥</w:t>
            </w:r>
            <w:r>
              <w:rPr>
                <w:rFonts w:hint="default" w:ascii="Times New Roman" w:hAnsi="Times New Roman" w:cs="Times New Roman"/>
                <w:color w:val="000000"/>
                <w:kern w:val="0"/>
                <w:sz w:val="21"/>
                <w:szCs w:val="21"/>
              </w:rPr>
              <w:t>90%</w:t>
            </w:r>
          </w:p>
        </w:tc>
        <w:tc>
          <w:tcPr>
            <w:tcW w:w="1276" w:type="dxa"/>
            <w:vAlign w:val="center"/>
          </w:tcPr>
          <w:p w14:paraId="07414886">
            <w:pPr>
              <w:rPr>
                <w:rFonts w:hint="default" w:ascii="Times New Roman" w:hAnsi="Times New Roman" w:cs="Times New Roman"/>
                <w:sz w:val="21"/>
                <w:szCs w:val="21"/>
              </w:rPr>
            </w:pPr>
            <w:r>
              <w:rPr>
                <w:rFonts w:hint="eastAsia" w:cs="Times New Roman"/>
                <w:color w:val="000000"/>
                <w:kern w:val="0"/>
                <w:sz w:val="21"/>
                <w:szCs w:val="21"/>
                <w:lang w:val="en-US" w:eastAsia="zh-CN"/>
              </w:rPr>
              <w:t>≥</w:t>
            </w:r>
            <w:r>
              <w:rPr>
                <w:rFonts w:hint="default" w:ascii="Times New Roman" w:hAnsi="Times New Roman" w:cs="Times New Roman"/>
                <w:color w:val="000000"/>
                <w:kern w:val="0"/>
                <w:sz w:val="21"/>
                <w:szCs w:val="21"/>
              </w:rPr>
              <w:t>90%</w:t>
            </w:r>
          </w:p>
        </w:tc>
        <w:tc>
          <w:tcPr>
            <w:tcW w:w="1012" w:type="dxa"/>
            <w:vAlign w:val="center"/>
          </w:tcPr>
          <w:p w14:paraId="62DA4D39">
            <w:pPr>
              <w:rPr>
                <w:rFonts w:hint="default" w:ascii="Times New Roman" w:hAnsi="Times New Roman" w:cs="Times New Roman"/>
                <w:sz w:val="21"/>
                <w:szCs w:val="21"/>
              </w:rPr>
            </w:pPr>
            <w:r>
              <w:rPr>
                <w:rFonts w:hint="default" w:ascii="Times New Roman" w:hAnsi="Times New Roman" w:cs="Times New Roman"/>
                <w:sz w:val="21"/>
                <w:szCs w:val="21"/>
              </w:rPr>
              <w:t>10</w:t>
            </w:r>
          </w:p>
        </w:tc>
      </w:tr>
      <w:tr w14:paraId="1939C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9" w:type="dxa"/>
            <w:vAlign w:val="center"/>
          </w:tcPr>
          <w:p w14:paraId="287E56C2">
            <w:r>
              <w:t>总分</w:t>
            </w:r>
          </w:p>
        </w:tc>
        <w:tc>
          <w:tcPr>
            <w:tcW w:w="8160" w:type="dxa"/>
            <w:gridSpan w:val="9"/>
            <w:vAlign w:val="center"/>
          </w:tcPr>
          <w:p w14:paraId="6601ED3F">
            <w:r>
              <w:rPr>
                <w:rFonts w:hint="eastAsia"/>
              </w:rPr>
              <w:t>71.53</w:t>
            </w:r>
          </w:p>
        </w:tc>
      </w:tr>
      <w:tr w14:paraId="2FB10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9" w:hRule="atLeast"/>
          <w:jc w:val="center"/>
        </w:trPr>
        <w:tc>
          <w:tcPr>
            <w:tcW w:w="2206" w:type="dxa"/>
            <w:gridSpan w:val="2"/>
            <w:vAlign w:val="center"/>
          </w:tcPr>
          <w:p w14:paraId="0A7D85CC">
            <w:r>
              <w:t>偏差大或</w:t>
            </w:r>
          </w:p>
          <w:p w14:paraId="2E40EBFD">
            <w:r>
              <w:t>目标未完成</w:t>
            </w:r>
          </w:p>
          <w:p w14:paraId="56298C95">
            <w:r>
              <w:t>原因分析</w:t>
            </w:r>
          </w:p>
        </w:tc>
        <w:tc>
          <w:tcPr>
            <w:tcW w:w="7023" w:type="dxa"/>
            <w:gridSpan w:val="8"/>
            <w:vAlign w:val="center"/>
          </w:tcPr>
          <w:p w14:paraId="53E57AC1">
            <w:pPr>
              <w:ind w:firstLine="420" w:firstLineChars="200"/>
              <w:jc w:val="left"/>
            </w:pPr>
            <w:r>
              <w:rPr>
                <w:rFonts w:hint="eastAsia"/>
              </w:rPr>
              <w:t xml:space="preserve"> 1.预算执行率较低。原因可归纳为以下五点：</w:t>
            </w:r>
          </w:p>
          <w:p w14:paraId="6AF4D1F5">
            <w:pPr>
              <w:ind w:firstLine="420" w:firstLineChars="200"/>
              <w:jc w:val="left"/>
            </w:pPr>
            <w:r>
              <w:rPr>
                <w:rFonts w:hint="eastAsia"/>
              </w:rPr>
              <w:t xml:space="preserve"> ①因财政资金紧张，项目预算资金未能落实到位。中国东西湖区“中国网谷”实施性规划第三笔付款53.4万、临空港大道功能品质提升规划第三笔付款36.48万、国土空间总体规划环境影响评价项目7.25万均已完成付款流程，因财政资金紧张未付；</w:t>
            </w:r>
            <w:r>
              <w:rPr>
                <w:rFonts w:hint="eastAsia" w:ascii="宋体" w:hAnsi="宋体" w:cs="宋体"/>
                <w:color w:val="000000"/>
                <w:kern w:val="0"/>
                <w:szCs w:val="21"/>
              </w:rPr>
              <w:t>东西湖区村庄规划技术审查及乡村建设规划许可实施细则研究</w:t>
            </w:r>
            <w:r>
              <w:rPr>
                <w:rFonts w:hint="eastAsia"/>
              </w:rPr>
              <w:t>、</w:t>
            </w:r>
            <w:r>
              <w:rPr>
                <w:rFonts w:hint="eastAsia"/>
                <w:szCs w:val="21"/>
              </w:rPr>
              <w:t>东西湖区城镇开发边界优化与调整</w:t>
            </w:r>
            <w:r>
              <w:rPr>
                <w:rFonts w:hint="eastAsia"/>
              </w:rPr>
              <w:t>、</w:t>
            </w:r>
            <w:r>
              <w:rPr>
                <w:rFonts w:hint="eastAsia"/>
                <w:szCs w:val="21"/>
              </w:rPr>
              <w:t>海口片（或其他重点区域）交通市政基础设施承载力评估</w:t>
            </w:r>
            <w:r>
              <w:rPr>
                <w:rFonts w:hint="eastAsia"/>
              </w:rPr>
              <w:t>、东西湖区管线综合专项规划及</w:t>
            </w:r>
            <w:r>
              <w:rPr>
                <w:rFonts w:hint="eastAsia"/>
                <w:szCs w:val="21"/>
              </w:rPr>
              <w:t>东西湖区能源站功能布局与规划选址研究</w:t>
            </w:r>
            <w:r>
              <w:rPr>
                <w:rFonts w:hint="eastAsia"/>
              </w:rPr>
              <w:t>等五个项目预算金额共计304万元，因无启动资金而未开展。</w:t>
            </w:r>
          </w:p>
          <w:p w14:paraId="3A442E9B">
            <w:pPr>
              <w:jc w:val="left"/>
            </w:pPr>
            <w:r>
              <w:rPr>
                <w:rFonts w:hint="eastAsia"/>
              </w:rPr>
              <w:t xml:space="preserve">②因工作安排变化，部分预算项目减少导致预算支出减少。如控规性详细规划编制项目预算金额178.05万元，拟启动陆港枢纽片、新沟镇片控规优化工作。后根据区领导工作安排，新沟镇片控规优化工作暂无需开展，仅启动预算资金66万元的陆港枢纽片控规项目，该项目2024年支出19.8万元。 </w:t>
            </w:r>
          </w:p>
          <w:p w14:paraId="578A6707">
            <w:pPr>
              <w:jc w:val="left"/>
            </w:pPr>
            <w:r>
              <w:rPr>
                <w:rFonts w:hint="eastAsia"/>
              </w:rPr>
              <w:t>③法定规划编制报批受外部流程影响进度，导致本年预算支出减少。区级国土空间规划预算资金94.2万元、泥达湖片控规预算资金24.6万元、海峡片区控制性详细规划预算资金22.8万元，上述项目报批工作需报市级以上部门审查审批，报审流程超出预期，导致区级国土空间规划94.2万元、泥达湖片控制性详细规划24.6万元及海峡片区控制性详细规划22.80万元未按进度完成预算执行。</w:t>
            </w:r>
          </w:p>
          <w:p w14:paraId="17853331">
            <w:pPr>
              <w:jc w:val="left"/>
            </w:pPr>
            <w:r>
              <w:rPr>
                <w:rFonts w:hint="eastAsia"/>
              </w:rPr>
              <w:t>④因服务单位工作职责发生变化，无法继续履行合同，</w:t>
            </w:r>
            <w:r>
              <w:rPr>
                <w:rFonts w:hint="eastAsia" w:ascii="宋体" w:hAnsi="宋体" w:cs="宋体"/>
                <w:color w:val="000000"/>
                <w:kern w:val="0"/>
                <w:szCs w:val="21"/>
              </w:rPr>
              <w:t>五线提取技术服务项目终止合同，24.15万预算资金未支出。</w:t>
            </w:r>
          </w:p>
          <w:p w14:paraId="69CF6909">
            <w:pPr>
              <w:jc w:val="left"/>
            </w:pPr>
            <w:r>
              <w:rPr>
                <w:rFonts w:hint="eastAsia"/>
              </w:rPr>
              <w:t>⑤因上级工作安排时间较晚，项目招投标流程耗时较长，</w:t>
            </w:r>
            <w:r>
              <w:rPr>
                <w:rFonts w:hint="eastAsia" w:ascii="宋体" w:hAnsi="宋体" w:cs="宋体"/>
                <w:kern w:val="0"/>
                <w:szCs w:val="21"/>
              </w:rPr>
              <w:t>2023-2024年度城乡规划编制与研究论证技术服务项目未能按计划完成预算支付。</w:t>
            </w:r>
          </w:p>
        </w:tc>
      </w:tr>
      <w:tr w14:paraId="7B37C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2206" w:type="dxa"/>
            <w:gridSpan w:val="2"/>
            <w:vAlign w:val="center"/>
          </w:tcPr>
          <w:p w14:paraId="3EFD78DF">
            <w:r>
              <w:t>改进措施及</w:t>
            </w:r>
          </w:p>
          <w:p w14:paraId="2B709982">
            <w:r>
              <w:t>结果应用方案</w:t>
            </w:r>
          </w:p>
        </w:tc>
        <w:tc>
          <w:tcPr>
            <w:tcW w:w="7023" w:type="dxa"/>
            <w:gridSpan w:val="8"/>
            <w:vAlign w:val="center"/>
          </w:tcPr>
          <w:p w14:paraId="4723B46C">
            <w:pPr>
              <w:ind w:firstLine="420" w:firstLineChars="200"/>
              <w:jc w:val="left"/>
            </w:pPr>
            <w:r>
              <w:rPr>
                <w:rFonts w:hint="eastAsia"/>
              </w:rPr>
              <w:t>1.加强与上级部门、业务关联部门的沟通，尽可能及时掌握政策、项目工作安排变化，以便预算安排的更合理、更全面。</w:t>
            </w:r>
          </w:p>
          <w:p w14:paraId="4DC7C776">
            <w:pPr>
              <w:ind w:firstLine="420" w:firstLineChars="200"/>
              <w:jc w:val="left"/>
            </w:pPr>
            <w:r>
              <w:rPr>
                <w:rFonts w:hint="eastAsia"/>
              </w:rPr>
              <w:t>2.年度预算执行中，根据实际情况，定期做好预算执行分析，掌握预算执行进度，及时找出预算实际执行情况与预算目标之间存在的差距，纠正偏差。</w:t>
            </w:r>
          </w:p>
          <w:p w14:paraId="324BD907">
            <w:pPr>
              <w:ind w:firstLine="420" w:firstLineChars="200"/>
              <w:jc w:val="left"/>
            </w:pPr>
            <w:r>
              <w:rPr>
                <w:rFonts w:hint="eastAsia"/>
              </w:rPr>
              <w:t>3.进一步优化和改善指标体系，更科学的制定并细化绩效指标目标值，使绩效指标与实际工作结合更为紧密。</w:t>
            </w:r>
          </w:p>
        </w:tc>
      </w:tr>
      <w:tr w14:paraId="609F8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jc w:val="center"/>
        </w:trPr>
        <w:tc>
          <w:tcPr>
            <w:tcW w:w="2206" w:type="dxa"/>
            <w:gridSpan w:val="2"/>
            <w:vAlign w:val="center"/>
          </w:tcPr>
          <w:p w14:paraId="530ADAB6">
            <w:r>
              <w:t>单位主要负责人</w:t>
            </w:r>
          </w:p>
          <w:p w14:paraId="5A54D9F5">
            <w:r>
              <w:t>签批意见</w:t>
            </w:r>
          </w:p>
        </w:tc>
        <w:tc>
          <w:tcPr>
            <w:tcW w:w="7023" w:type="dxa"/>
            <w:gridSpan w:val="8"/>
            <w:vAlign w:val="center"/>
          </w:tcPr>
          <w:p w14:paraId="01DD2D29"/>
          <w:p w14:paraId="0130ECB3"/>
          <w:p w14:paraId="2A0FD767"/>
          <w:p w14:paraId="1F1AA6BA"/>
          <w:p w14:paraId="13D979EF"/>
          <w:p w14:paraId="1B59979B">
            <w:r>
              <w:rPr>
                <w:rFonts w:hAnsi="宋体"/>
              </w:rPr>
              <w:t>签名：</w:t>
            </w:r>
          </w:p>
          <w:p w14:paraId="75AECD50"/>
          <w:p w14:paraId="14404C46">
            <w:r>
              <w:rPr>
                <w:rFonts w:hint="eastAsia" w:hAnsi="宋体"/>
                <w:lang w:val="en-US" w:eastAsia="zh-CN"/>
              </w:rPr>
              <w:t xml:space="preserve">                 </w:t>
            </w:r>
            <w:r>
              <w:rPr>
                <w:rFonts w:hAnsi="宋体"/>
              </w:rPr>
              <w:t>年</w:t>
            </w:r>
            <w:r>
              <w:rPr>
                <w:rFonts w:hint="eastAsia" w:hAnsi="宋体"/>
                <w:lang w:val="en-US" w:eastAsia="zh-CN"/>
              </w:rPr>
              <w:t xml:space="preserve">     </w:t>
            </w:r>
            <w:r>
              <w:rPr>
                <w:rFonts w:hAnsi="宋体"/>
              </w:rPr>
              <w:t>月</w:t>
            </w:r>
            <w:r>
              <w:rPr>
                <w:rFonts w:hint="eastAsia" w:hAnsi="宋体"/>
                <w:lang w:val="en-US" w:eastAsia="zh-CN"/>
              </w:rPr>
              <w:t xml:space="preserve">     </w:t>
            </w:r>
            <w:r>
              <w:rPr>
                <w:rFonts w:hAnsi="宋体"/>
              </w:rPr>
              <w:t>日</w:t>
            </w:r>
          </w:p>
          <w:p w14:paraId="32D08533"/>
        </w:tc>
      </w:tr>
    </w:tbl>
    <w:p w14:paraId="6B295EAE">
      <w:pPr>
        <w:jc w:val="left"/>
      </w:pPr>
      <w:r>
        <w:t>备注：</w:t>
      </w:r>
    </w:p>
    <w:p w14:paraId="2B17FEBF">
      <w:pPr>
        <w:ind w:firstLine="420" w:firstLineChars="200"/>
        <w:jc w:val="left"/>
      </w:pPr>
      <w:r>
        <w:t>1.预算执行情况口径：预算数为调整后财政资金总额（包括上年结余结转），执行数为资金使用单位财政资金实际支出数。</w:t>
      </w:r>
    </w:p>
    <w:p w14:paraId="640B5C66">
      <w:pPr>
        <w:ind w:firstLine="420" w:firstLineChars="200"/>
        <w:jc w:val="both"/>
      </w:pPr>
      <w:r>
        <w:t>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p>
    <w:p w14:paraId="1686366E">
      <w:pPr>
        <w:ind w:firstLine="420" w:firstLineChars="200"/>
        <w:jc w:val="both"/>
      </w:pPr>
      <w:r>
        <w:t>3.定性指标计分原则：达成预期指标、部分达成预期指标并具有一定效果、未达成预期指标且效果较差三档，分别按照该指标对应分值区间100-80%（含80%）、80-50%（含50%）、50-0%合理确定分值。汇总时，以资金额度为权重，对分值进行加权平均计算。</w:t>
      </w:r>
    </w:p>
    <w:p w14:paraId="2F4D0787">
      <w:pPr>
        <w:ind w:firstLine="420" w:firstLineChars="200"/>
        <w:jc w:val="both"/>
      </w:pPr>
      <w:r>
        <w:t>4.基于经济性和必要性等因素考虑，满意度指标暂可不作为必评指标。</w:t>
      </w:r>
    </w:p>
    <w:p w14:paraId="2B789DAF"/>
    <w:sectPr>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简体">
    <w:altName w:val="黑体"/>
    <w:panose1 w:val="03000509000000000000"/>
    <w:charset w:val="86"/>
    <w:family w:val="auto"/>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Y3NGYzYWVkZThiNmU2NDlkNjk5NTY3YWVkMzQ5YjEifQ=="/>
  </w:docVars>
  <w:rsids>
    <w:rsidRoot w:val="7B4C0FBE"/>
    <w:rsid w:val="00040563"/>
    <w:rsid w:val="00064A82"/>
    <w:rsid w:val="000D199E"/>
    <w:rsid w:val="00141304"/>
    <w:rsid w:val="00144602"/>
    <w:rsid w:val="00174F7B"/>
    <w:rsid w:val="001D1A20"/>
    <w:rsid w:val="001F0091"/>
    <w:rsid w:val="001F135A"/>
    <w:rsid w:val="002840F6"/>
    <w:rsid w:val="00291AC7"/>
    <w:rsid w:val="002C24DC"/>
    <w:rsid w:val="002C63CA"/>
    <w:rsid w:val="002D0DEE"/>
    <w:rsid w:val="0031208A"/>
    <w:rsid w:val="00353649"/>
    <w:rsid w:val="003560E5"/>
    <w:rsid w:val="00370DDB"/>
    <w:rsid w:val="003858E7"/>
    <w:rsid w:val="003977E5"/>
    <w:rsid w:val="003D1ADA"/>
    <w:rsid w:val="003D7BC8"/>
    <w:rsid w:val="00490A0F"/>
    <w:rsid w:val="004A5D6D"/>
    <w:rsid w:val="004B47CF"/>
    <w:rsid w:val="004B7829"/>
    <w:rsid w:val="004C2ED6"/>
    <w:rsid w:val="00505E74"/>
    <w:rsid w:val="005338FE"/>
    <w:rsid w:val="00556E7D"/>
    <w:rsid w:val="00592212"/>
    <w:rsid w:val="005D0253"/>
    <w:rsid w:val="005E66C0"/>
    <w:rsid w:val="005F42A4"/>
    <w:rsid w:val="00600AFA"/>
    <w:rsid w:val="00630261"/>
    <w:rsid w:val="006476D7"/>
    <w:rsid w:val="0065203B"/>
    <w:rsid w:val="0067456C"/>
    <w:rsid w:val="00691739"/>
    <w:rsid w:val="006E1D2E"/>
    <w:rsid w:val="00733077"/>
    <w:rsid w:val="007A1148"/>
    <w:rsid w:val="007F2832"/>
    <w:rsid w:val="007F3163"/>
    <w:rsid w:val="00867DF7"/>
    <w:rsid w:val="00886F49"/>
    <w:rsid w:val="008B77CA"/>
    <w:rsid w:val="009D3EB2"/>
    <w:rsid w:val="00A51358"/>
    <w:rsid w:val="00A72B95"/>
    <w:rsid w:val="00B20B94"/>
    <w:rsid w:val="00B32D04"/>
    <w:rsid w:val="00B81EE7"/>
    <w:rsid w:val="00B86048"/>
    <w:rsid w:val="00BC3E74"/>
    <w:rsid w:val="00C614C4"/>
    <w:rsid w:val="00CB76E7"/>
    <w:rsid w:val="00CC061B"/>
    <w:rsid w:val="00CD630F"/>
    <w:rsid w:val="00D32CAA"/>
    <w:rsid w:val="00E05A78"/>
    <w:rsid w:val="00E22C1F"/>
    <w:rsid w:val="00E41FE5"/>
    <w:rsid w:val="00E80F1E"/>
    <w:rsid w:val="00E86B88"/>
    <w:rsid w:val="00ED376B"/>
    <w:rsid w:val="00F31664"/>
    <w:rsid w:val="00F63220"/>
    <w:rsid w:val="00F848E5"/>
    <w:rsid w:val="00F90F8A"/>
    <w:rsid w:val="00F93677"/>
    <w:rsid w:val="00FA5DB8"/>
    <w:rsid w:val="247840F7"/>
    <w:rsid w:val="25D1296A"/>
    <w:rsid w:val="2E7030E5"/>
    <w:rsid w:val="356C636A"/>
    <w:rsid w:val="4A29198C"/>
    <w:rsid w:val="671F5091"/>
    <w:rsid w:val="6DD867EA"/>
    <w:rsid w:val="772E27AA"/>
    <w:rsid w:val="7B4C0FBE"/>
    <w:rsid w:val="7BBA4A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center"/>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character" w:customStyle="1" w:styleId="7">
    <w:name w:val="页脚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1556</Words>
  <Characters>1710</Characters>
  <Lines>13</Lines>
  <Paragraphs>3</Paragraphs>
  <TotalTime>2</TotalTime>
  <ScaleCrop>false</ScaleCrop>
  <LinksUpToDate>false</LinksUpToDate>
  <CharactersWithSpaces>1777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2025-01-09T01:52:00Z</dcterms:created>
  <dc:creator>吞吞</dc:creator>
  <cp:lastModifiedBy>君肖肖_</cp:lastModifiedBy>
  <cp:lastPrinted>2025-01-09T02:52:00Z</cp:lastPrinted>
  <dcterms:modified xsi:type="dcterms:W3CDTF">2025-04-14T03:11:11Z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48C30F62B8D84A308E74AD85EDB3758D_11</vt:lpwstr>
  </property>
  <property fmtid="{D5CDD505-2E9C-101B-9397-08002B2CF9AE}" pid="4" name="KSOTemplateDocerSaveRecord">
    <vt:lpwstr>eyJoZGlkIjoiZGM3Yzk5ZmI2NThiOTcwNTk4ZDlmYmQ1MzYzMTRmNTciLCJ1c2VySWQiOiIxMDE1NDc3MzI0In0=</vt:lpwstr>
  </property>
</Properties>
</file>