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68803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33AB0BBC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</w:rPr>
        <w:t>2024</w:t>
      </w:r>
      <w:r>
        <w:rPr>
          <w:rFonts w:eastAsia="方正小标宋简体"/>
          <w:color w:val="000000"/>
          <w:kern w:val="0"/>
          <w:sz w:val="40"/>
          <w:szCs w:val="40"/>
        </w:rPr>
        <w:t>年度</w:t>
      </w:r>
      <w:r>
        <w:rPr>
          <w:rFonts w:hint="eastAsia" w:eastAsia="方正小标宋简体"/>
          <w:color w:val="000000"/>
          <w:kern w:val="0"/>
          <w:sz w:val="40"/>
          <w:szCs w:val="40"/>
        </w:rPr>
        <w:t>综合办公运营支撑及档案管理工作</w:t>
      </w:r>
    </w:p>
    <w:p w14:paraId="6AB59B90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</w:rPr>
        <w:t>经费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 w14:paraId="541DE11E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</w:rPr>
        <w:t>2025年1月9日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94"/>
        <w:gridCol w:w="1417"/>
        <w:gridCol w:w="851"/>
        <w:gridCol w:w="502"/>
        <w:gridCol w:w="773"/>
        <w:gridCol w:w="993"/>
        <w:gridCol w:w="283"/>
        <w:gridCol w:w="1276"/>
        <w:gridCol w:w="731"/>
      </w:tblGrid>
      <w:tr w14:paraId="20C3C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Align w:val="center"/>
          </w:tcPr>
          <w:p w14:paraId="195214C4">
            <w:r>
              <w:t>项目名称</w:t>
            </w:r>
          </w:p>
        </w:tc>
        <w:tc>
          <w:tcPr>
            <w:tcW w:w="6826" w:type="dxa"/>
            <w:gridSpan w:val="8"/>
            <w:vAlign w:val="center"/>
          </w:tcPr>
          <w:p w14:paraId="7CF36703">
            <w:r>
              <w:rPr>
                <w:rFonts w:hint="eastAsia"/>
              </w:rPr>
              <w:t>综合办公运营支撑及档案管理工作经费</w:t>
            </w:r>
          </w:p>
        </w:tc>
      </w:tr>
      <w:tr w14:paraId="1615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Align w:val="center"/>
          </w:tcPr>
          <w:p w14:paraId="11AA3DA9">
            <w:r>
              <w:t>主管部门</w:t>
            </w:r>
          </w:p>
        </w:tc>
        <w:tc>
          <w:tcPr>
            <w:tcW w:w="2770" w:type="dxa"/>
            <w:gridSpan w:val="3"/>
            <w:vAlign w:val="center"/>
          </w:tcPr>
          <w:p w14:paraId="4B0C2934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2C957B32">
            <w:r>
              <w:t>项目实施单位</w:t>
            </w:r>
          </w:p>
        </w:tc>
        <w:tc>
          <w:tcPr>
            <w:tcW w:w="2290" w:type="dxa"/>
            <w:gridSpan w:val="3"/>
            <w:vAlign w:val="center"/>
          </w:tcPr>
          <w:p w14:paraId="37D269A2">
            <w:r>
              <w:rPr>
                <w:rFonts w:hint="eastAsia"/>
              </w:rPr>
              <w:t>地理信息中心</w:t>
            </w:r>
          </w:p>
          <w:p w14:paraId="7DA3F5B1">
            <w:r>
              <w:rPr>
                <w:rFonts w:hint="eastAsia"/>
              </w:rPr>
              <w:t>（档案信息中心）</w:t>
            </w:r>
            <w:r>
              <w:t>　</w:t>
            </w:r>
          </w:p>
        </w:tc>
      </w:tr>
      <w:tr w14:paraId="1DD38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Align w:val="center"/>
          </w:tcPr>
          <w:p w14:paraId="51FF3CFD">
            <w:r>
              <w:t>项目类别</w:t>
            </w:r>
          </w:p>
        </w:tc>
        <w:tc>
          <w:tcPr>
            <w:tcW w:w="6826" w:type="dxa"/>
            <w:gridSpan w:val="8"/>
            <w:vAlign w:val="center"/>
          </w:tcPr>
          <w:p w14:paraId="47D3A7A7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ascii="Segoe UI Symbol" w:hAnsi="Segoe UI Symbol" w:cs="Segoe UI Symbol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□ </w:t>
            </w:r>
          </w:p>
        </w:tc>
      </w:tr>
      <w:tr w14:paraId="7D4F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Align w:val="center"/>
          </w:tcPr>
          <w:p w14:paraId="560F1DBF">
            <w:r>
              <w:t>项目属性</w:t>
            </w:r>
          </w:p>
        </w:tc>
        <w:tc>
          <w:tcPr>
            <w:tcW w:w="6826" w:type="dxa"/>
            <w:gridSpan w:val="8"/>
            <w:vAlign w:val="center"/>
          </w:tcPr>
          <w:p w14:paraId="1CF4FB09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ascii="Segoe UI Symbol" w:hAnsi="Segoe UI Symbol" w:cs="Segoe UI Symbol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□ </w:t>
            </w:r>
          </w:p>
        </w:tc>
      </w:tr>
      <w:tr w14:paraId="3032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Align w:val="center"/>
          </w:tcPr>
          <w:p w14:paraId="65B668E8">
            <w:r>
              <w:t>项目类型</w:t>
            </w:r>
          </w:p>
        </w:tc>
        <w:tc>
          <w:tcPr>
            <w:tcW w:w="6826" w:type="dxa"/>
            <w:gridSpan w:val="8"/>
            <w:vAlign w:val="center"/>
          </w:tcPr>
          <w:p w14:paraId="21E38358">
            <w:pPr>
              <w:jc w:val="both"/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ascii="Segoe UI Symbol" w:hAnsi="Segoe UI Symbol" w:cs="Segoe UI Symbol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□      3</w:t>
            </w:r>
            <w:r>
              <w:rPr>
                <w:rFonts w:hAnsi="宋体"/>
              </w:rPr>
              <w:t>、一次性项目</w:t>
            </w:r>
            <w:r>
              <w:t xml:space="preserve"> □</w:t>
            </w:r>
          </w:p>
        </w:tc>
      </w:tr>
      <w:tr w14:paraId="2318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14:paraId="1F2AEF93">
            <w:r>
              <w:t>预算执行</w:t>
            </w:r>
          </w:p>
          <w:p w14:paraId="4D35A149">
            <w:r>
              <w:t>情况（万元）</w:t>
            </w:r>
          </w:p>
          <w:p w14:paraId="1D7940EB">
            <w:r>
              <w:t>（20分）</w:t>
            </w:r>
          </w:p>
        </w:tc>
        <w:tc>
          <w:tcPr>
            <w:tcW w:w="1417" w:type="dxa"/>
            <w:vAlign w:val="center"/>
          </w:tcPr>
          <w:p w14:paraId="4FBC3137"/>
        </w:tc>
        <w:tc>
          <w:tcPr>
            <w:tcW w:w="851" w:type="dxa"/>
            <w:vAlign w:val="center"/>
          </w:tcPr>
          <w:p w14:paraId="01B8ED84">
            <w:r>
              <w:t>预算数（A）</w:t>
            </w:r>
          </w:p>
        </w:tc>
        <w:tc>
          <w:tcPr>
            <w:tcW w:w="1275" w:type="dxa"/>
            <w:gridSpan w:val="2"/>
            <w:vAlign w:val="center"/>
          </w:tcPr>
          <w:p w14:paraId="4E76508D">
            <w:r>
              <w:t>执行数</w:t>
            </w:r>
          </w:p>
          <w:p w14:paraId="2E7C8EF6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7B853B13">
            <w:r>
              <w:t>执行率（B/A）</w:t>
            </w:r>
          </w:p>
        </w:tc>
        <w:tc>
          <w:tcPr>
            <w:tcW w:w="2007" w:type="dxa"/>
            <w:gridSpan w:val="2"/>
            <w:vAlign w:val="center"/>
          </w:tcPr>
          <w:p w14:paraId="4138323A">
            <w:r>
              <w:t>得分</w:t>
            </w:r>
          </w:p>
          <w:p w14:paraId="23EBAB52">
            <w:r>
              <w:t>（20分*执行率）</w:t>
            </w:r>
          </w:p>
        </w:tc>
      </w:tr>
      <w:tr w14:paraId="537A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vMerge w:val="continue"/>
            <w:vAlign w:val="center"/>
          </w:tcPr>
          <w:p w14:paraId="7217AACF"/>
        </w:tc>
        <w:tc>
          <w:tcPr>
            <w:tcW w:w="1417" w:type="dxa"/>
            <w:vAlign w:val="center"/>
          </w:tcPr>
          <w:p w14:paraId="370B5362">
            <w:r>
              <w:t>年度财政</w:t>
            </w:r>
          </w:p>
          <w:p w14:paraId="1100B233">
            <w:r>
              <w:t>资金总额</w:t>
            </w:r>
          </w:p>
        </w:tc>
        <w:tc>
          <w:tcPr>
            <w:tcW w:w="851" w:type="dxa"/>
            <w:vAlign w:val="center"/>
          </w:tcPr>
          <w:p w14:paraId="62C110B0">
            <w:r>
              <w:rPr>
                <w:rFonts w:hint="eastAsia"/>
              </w:rPr>
              <w:t>226</w:t>
            </w:r>
          </w:p>
        </w:tc>
        <w:tc>
          <w:tcPr>
            <w:tcW w:w="1275" w:type="dxa"/>
            <w:gridSpan w:val="2"/>
            <w:vAlign w:val="center"/>
          </w:tcPr>
          <w:p w14:paraId="23AA18B0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182.2</w:t>
            </w:r>
            <w:r>
              <w:rPr>
                <w:rFonts w:hint="eastAsia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 w14:paraId="4F81EF3A">
            <w:r>
              <w:rPr>
                <w:rFonts w:hint="eastAsia"/>
              </w:rPr>
              <w:t>80.66%</w:t>
            </w:r>
          </w:p>
        </w:tc>
        <w:tc>
          <w:tcPr>
            <w:tcW w:w="2007" w:type="dxa"/>
            <w:gridSpan w:val="2"/>
            <w:vAlign w:val="center"/>
          </w:tcPr>
          <w:p w14:paraId="46C3755D">
            <w:r>
              <w:rPr>
                <w:rFonts w:hint="eastAsia"/>
              </w:rPr>
              <w:t>16.13</w:t>
            </w:r>
          </w:p>
        </w:tc>
      </w:tr>
      <w:tr w14:paraId="1408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vAlign w:val="center"/>
          </w:tcPr>
          <w:p w14:paraId="137CC599">
            <w:r>
              <w:t>年度绩效目标</w:t>
            </w:r>
          </w:p>
          <w:p w14:paraId="34B5289E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294" w:type="dxa"/>
            <w:vAlign w:val="center"/>
          </w:tcPr>
          <w:p w14:paraId="24E40B6B">
            <w:r>
              <w:t>一级指标</w:t>
            </w:r>
          </w:p>
        </w:tc>
        <w:tc>
          <w:tcPr>
            <w:tcW w:w="1417" w:type="dxa"/>
            <w:vAlign w:val="center"/>
          </w:tcPr>
          <w:p w14:paraId="5B96CF6D">
            <w:r>
              <w:t>二级指标</w:t>
            </w:r>
          </w:p>
        </w:tc>
        <w:tc>
          <w:tcPr>
            <w:tcW w:w="2126" w:type="dxa"/>
            <w:gridSpan w:val="3"/>
            <w:vAlign w:val="center"/>
          </w:tcPr>
          <w:p w14:paraId="43A07458"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7D9C3572">
            <w:r>
              <w:t>年初目标值（A）</w:t>
            </w:r>
          </w:p>
        </w:tc>
        <w:tc>
          <w:tcPr>
            <w:tcW w:w="1276" w:type="dxa"/>
            <w:vAlign w:val="center"/>
          </w:tcPr>
          <w:p w14:paraId="6CBB62AD">
            <w:r>
              <w:t>实际完成值（B）</w:t>
            </w:r>
          </w:p>
        </w:tc>
        <w:tc>
          <w:tcPr>
            <w:tcW w:w="731" w:type="dxa"/>
            <w:vAlign w:val="center"/>
          </w:tcPr>
          <w:p w14:paraId="6BC5883F">
            <w:r>
              <w:t>得分</w:t>
            </w:r>
          </w:p>
        </w:tc>
      </w:tr>
      <w:tr w14:paraId="7D4A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28" w:type="dxa"/>
            <w:vMerge w:val="continue"/>
            <w:vAlign w:val="center"/>
          </w:tcPr>
          <w:p w14:paraId="0B515EC6"/>
        </w:tc>
        <w:tc>
          <w:tcPr>
            <w:tcW w:w="1294" w:type="dxa"/>
            <w:vMerge w:val="restart"/>
            <w:vAlign w:val="center"/>
          </w:tcPr>
          <w:p w14:paraId="4BAD89E7">
            <w:r>
              <w:t>产出指标</w:t>
            </w:r>
          </w:p>
          <w:p w14:paraId="5B9030B1"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417" w:type="dxa"/>
            <w:vMerge w:val="restart"/>
            <w:vAlign w:val="center"/>
          </w:tcPr>
          <w:p w14:paraId="45A8E4F8">
            <w:r>
              <w:rPr>
                <w:rFonts w:hint="eastAsia"/>
              </w:rPr>
              <w:t>数量指标</w:t>
            </w:r>
          </w:p>
        </w:tc>
        <w:tc>
          <w:tcPr>
            <w:tcW w:w="2126" w:type="dxa"/>
            <w:gridSpan w:val="3"/>
            <w:vAlign w:val="center"/>
          </w:tcPr>
          <w:p w14:paraId="7B64E2CB">
            <w:r>
              <w:rPr>
                <w:rFonts w:hint="eastAsia"/>
              </w:rPr>
              <w:t>网络设备、计算机设备等</w:t>
            </w:r>
          </w:p>
        </w:tc>
        <w:tc>
          <w:tcPr>
            <w:tcW w:w="1276" w:type="dxa"/>
            <w:gridSpan w:val="2"/>
            <w:vAlign w:val="center"/>
          </w:tcPr>
          <w:p w14:paraId="685D8ABE">
            <w:r>
              <w:rPr>
                <w:rFonts w:hint="eastAsia"/>
              </w:rPr>
              <w:t>200台</w:t>
            </w:r>
          </w:p>
        </w:tc>
        <w:tc>
          <w:tcPr>
            <w:tcW w:w="1276" w:type="dxa"/>
            <w:vAlign w:val="center"/>
          </w:tcPr>
          <w:p w14:paraId="67A084BF">
            <w:r>
              <w:rPr>
                <w:rFonts w:hint="eastAsia"/>
              </w:rPr>
              <w:t>按计划完成　</w:t>
            </w:r>
          </w:p>
        </w:tc>
        <w:tc>
          <w:tcPr>
            <w:tcW w:w="731" w:type="dxa"/>
            <w:vMerge w:val="restart"/>
            <w:vAlign w:val="center"/>
          </w:tcPr>
          <w:p w14:paraId="1411788B">
            <w:r>
              <w:rPr>
                <w:rFonts w:hint="eastAsia"/>
              </w:rPr>
              <w:t>30</w:t>
            </w:r>
          </w:p>
        </w:tc>
      </w:tr>
      <w:tr w14:paraId="011E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828" w:type="dxa"/>
            <w:vMerge w:val="continue"/>
            <w:vAlign w:val="center"/>
          </w:tcPr>
          <w:p w14:paraId="20F596E8"/>
        </w:tc>
        <w:tc>
          <w:tcPr>
            <w:tcW w:w="1294" w:type="dxa"/>
            <w:vMerge w:val="continue"/>
            <w:vAlign w:val="center"/>
          </w:tcPr>
          <w:p w14:paraId="08AAFC5B"/>
        </w:tc>
        <w:tc>
          <w:tcPr>
            <w:tcW w:w="1417" w:type="dxa"/>
            <w:vMerge w:val="continue"/>
            <w:vAlign w:val="center"/>
          </w:tcPr>
          <w:p w14:paraId="229FD9C5"/>
        </w:tc>
        <w:tc>
          <w:tcPr>
            <w:tcW w:w="2126" w:type="dxa"/>
            <w:gridSpan w:val="3"/>
            <w:vAlign w:val="center"/>
          </w:tcPr>
          <w:p w14:paraId="69722292">
            <w:r>
              <w:rPr>
                <w:rFonts w:hint="eastAsia"/>
              </w:rPr>
              <w:t>日常维护系统平台</w:t>
            </w:r>
          </w:p>
        </w:tc>
        <w:tc>
          <w:tcPr>
            <w:tcW w:w="1276" w:type="dxa"/>
            <w:gridSpan w:val="2"/>
            <w:vAlign w:val="center"/>
          </w:tcPr>
          <w:p w14:paraId="5AA52A3B">
            <w:r>
              <w:rPr>
                <w:rFonts w:hint="eastAsia"/>
              </w:rPr>
              <w:t>8个</w:t>
            </w:r>
          </w:p>
        </w:tc>
        <w:tc>
          <w:tcPr>
            <w:tcW w:w="1276" w:type="dxa"/>
            <w:vAlign w:val="center"/>
          </w:tcPr>
          <w:p w14:paraId="0D52088E">
            <w:r>
              <w:rPr>
                <w:rFonts w:hint="eastAsia"/>
              </w:rPr>
              <w:t>按计划完成</w:t>
            </w:r>
          </w:p>
        </w:tc>
        <w:tc>
          <w:tcPr>
            <w:tcW w:w="731" w:type="dxa"/>
            <w:vMerge w:val="continue"/>
            <w:vAlign w:val="center"/>
          </w:tcPr>
          <w:p w14:paraId="1F1EF160"/>
        </w:tc>
      </w:tr>
      <w:tr w14:paraId="0256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8" w:type="dxa"/>
            <w:vMerge w:val="continue"/>
            <w:vAlign w:val="center"/>
          </w:tcPr>
          <w:p w14:paraId="1230A58E"/>
        </w:tc>
        <w:tc>
          <w:tcPr>
            <w:tcW w:w="1294" w:type="dxa"/>
            <w:vMerge w:val="continue"/>
            <w:vAlign w:val="center"/>
          </w:tcPr>
          <w:p w14:paraId="6F4C01A4"/>
        </w:tc>
        <w:tc>
          <w:tcPr>
            <w:tcW w:w="1417" w:type="dxa"/>
            <w:vAlign w:val="center"/>
          </w:tcPr>
          <w:p w14:paraId="51E7D9BD">
            <w:r>
              <w:rPr>
                <w:rFonts w:hint="eastAsia"/>
              </w:rPr>
              <w:t>质量指标</w:t>
            </w:r>
          </w:p>
        </w:tc>
        <w:tc>
          <w:tcPr>
            <w:tcW w:w="2126" w:type="dxa"/>
            <w:gridSpan w:val="3"/>
            <w:vAlign w:val="center"/>
          </w:tcPr>
          <w:p w14:paraId="46991222">
            <w:r>
              <w:rPr>
                <w:rFonts w:hint="eastAsia"/>
              </w:rPr>
              <w:t>正常运行并提高工作效率</w:t>
            </w:r>
          </w:p>
        </w:tc>
        <w:tc>
          <w:tcPr>
            <w:tcW w:w="1276" w:type="dxa"/>
            <w:gridSpan w:val="2"/>
            <w:vAlign w:val="center"/>
          </w:tcPr>
          <w:p w14:paraId="79598075">
            <w:r>
              <w:rPr>
                <w:rFonts w:hint="eastAsia"/>
              </w:rPr>
              <w:t>≥95%</w:t>
            </w:r>
          </w:p>
        </w:tc>
        <w:tc>
          <w:tcPr>
            <w:tcW w:w="1276" w:type="dxa"/>
            <w:vAlign w:val="center"/>
          </w:tcPr>
          <w:p w14:paraId="79A20E19">
            <w:r>
              <w:rPr>
                <w:rFonts w:hint="eastAsia"/>
              </w:rPr>
              <w:t>按计划完成</w:t>
            </w:r>
          </w:p>
        </w:tc>
        <w:tc>
          <w:tcPr>
            <w:tcW w:w="731" w:type="dxa"/>
            <w:vMerge w:val="continue"/>
            <w:vAlign w:val="center"/>
          </w:tcPr>
          <w:p w14:paraId="5903D030"/>
        </w:tc>
      </w:tr>
      <w:tr w14:paraId="3220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828" w:type="dxa"/>
            <w:vMerge w:val="continue"/>
            <w:vAlign w:val="center"/>
          </w:tcPr>
          <w:p w14:paraId="5213A77F"/>
        </w:tc>
        <w:tc>
          <w:tcPr>
            <w:tcW w:w="1294" w:type="dxa"/>
            <w:vMerge w:val="continue"/>
            <w:vAlign w:val="center"/>
          </w:tcPr>
          <w:p w14:paraId="570D8A21"/>
        </w:tc>
        <w:tc>
          <w:tcPr>
            <w:tcW w:w="1417" w:type="dxa"/>
            <w:vMerge w:val="restart"/>
            <w:vAlign w:val="center"/>
          </w:tcPr>
          <w:p w14:paraId="3D790069">
            <w:r>
              <w:rPr>
                <w:rFonts w:hint="eastAsia"/>
              </w:rPr>
              <w:t>时效指标</w:t>
            </w:r>
          </w:p>
        </w:tc>
        <w:tc>
          <w:tcPr>
            <w:tcW w:w="2126" w:type="dxa"/>
            <w:gridSpan w:val="3"/>
            <w:vAlign w:val="center"/>
          </w:tcPr>
          <w:p w14:paraId="66118F9D">
            <w:r>
              <w:rPr>
                <w:rFonts w:hint="eastAsia"/>
              </w:rPr>
              <w:t>系统故障修复响应时间</w:t>
            </w:r>
          </w:p>
        </w:tc>
        <w:tc>
          <w:tcPr>
            <w:tcW w:w="1276" w:type="dxa"/>
            <w:gridSpan w:val="2"/>
            <w:vAlign w:val="center"/>
          </w:tcPr>
          <w:p w14:paraId="4ABF6136">
            <w:r>
              <w:rPr>
                <w:rFonts w:hint="eastAsia"/>
              </w:rPr>
              <w:t>≤2小时</w:t>
            </w:r>
          </w:p>
        </w:tc>
        <w:tc>
          <w:tcPr>
            <w:tcW w:w="1276" w:type="dxa"/>
            <w:vAlign w:val="center"/>
          </w:tcPr>
          <w:p w14:paraId="2B013307">
            <w:r>
              <w:rPr>
                <w:rFonts w:hint="eastAsia"/>
              </w:rPr>
              <w:t>按计划完成</w:t>
            </w:r>
          </w:p>
        </w:tc>
        <w:tc>
          <w:tcPr>
            <w:tcW w:w="731" w:type="dxa"/>
            <w:vMerge w:val="continue"/>
            <w:vAlign w:val="center"/>
          </w:tcPr>
          <w:p w14:paraId="680F6849"/>
        </w:tc>
      </w:tr>
      <w:tr w14:paraId="2EEC9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828" w:type="dxa"/>
            <w:vMerge w:val="continue"/>
            <w:vAlign w:val="center"/>
          </w:tcPr>
          <w:p w14:paraId="291CA841"/>
        </w:tc>
        <w:tc>
          <w:tcPr>
            <w:tcW w:w="1294" w:type="dxa"/>
            <w:vMerge w:val="continue"/>
            <w:vAlign w:val="center"/>
          </w:tcPr>
          <w:p w14:paraId="4B6FA0BA"/>
        </w:tc>
        <w:tc>
          <w:tcPr>
            <w:tcW w:w="1417" w:type="dxa"/>
            <w:vMerge w:val="continue"/>
            <w:vAlign w:val="center"/>
          </w:tcPr>
          <w:p w14:paraId="1475D49E"/>
        </w:tc>
        <w:tc>
          <w:tcPr>
            <w:tcW w:w="2126" w:type="dxa"/>
            <w:gridSpan w:val="3"/>
            <w:vAlign w:val="center"/>
          </w:tcPr>
          <w:p w14:paraId="076A6B19">
            <w:r>
              <w:rPr>
                <w:rFonts w:hint="eastAsia"/>
              </w:rPr>
              <w:t>系统运维响应时间</w:t>
            </w:r>
          </w:p>
        </w:tc>
        <w:tc>
          <w:tcPr>
            <w:tcW w:w="1276" w:type="dxa"/>
            <w:gridSpan w:val="2"/>
            <w:vAlign w:val="center"/>
          </w:tcPr>
          <w:p w14:paraId="189B4C51">
            <w:r>
              <w:rPr>
                <w:rFonts w:hint="eastAsia"/>
              </w:rPr>
              <w:t>≤60分钟</w:t>
            </w:r>
          </w:p>
        </w:tc>
        <w:tc>
          <w:tcPr>
            <w:tcW w:w="1276" w:type="dxa"/>
            <w:vAlign w:val="center"/>
          </w:tcPr>
          <w:p w14:paraId="18CB75AD">
            <w:r>
              <w:rPr>
                <w:rFonts w:hint="eastAsia"/>
              </w:rPr>
              <w:t>按计划完成</w:t>
            </w:r>
          </w:p>
        </w:tc>
        <w:tc>
          <w:tcPr>
            <w:tcW w:w="731" w:type="dxa"/>
            <w:vMerge w:val="continue"/>
            <w:vAlign w:val="center"/>
          </w:tcPr>
          <w:p w14:paraId="506E34CE"/>
        </w:tc>
      </w:tr>
      <w:tr w14:paraId="1340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8" w:type="dxa"/>
            <w:vMerge w:val="continue"/>
            <w:vAlign w:val="center"/>
          </w:tcPr>
          <w:p w14:paraId="4657899D"/>
        </w:tc>
        <w:tc>
          <w:tcPr>
            <w:tcW w:w="1294" w:type="dxa"/>
            <w:vAlign w:val="center"/>
          </w:tcPr>
          <w:p w14:paraId="27472EF1">
            <w:r>
              <w:t>效益指标</w:t>
            </w:r>
          </w:p>
          <w:p w14:paraId="70E0A465"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417" w:type="dxa"/>
            <w:vAlign w:val="center"/>
          </w:tcPr>
          <w:p w14:paraId="750FB684">
            <w:r>
              <w:rPr>
                <w:rFonts w:hint="eastAsia"/>
              </w:rPr>
              <w:t>社会效益</w:t>
            </w:r>
          </w:p>
          <w:p w14:paraId="76D9E1A8">
            <w:r>
              <w:rPr>
                <w:rFonts w:hint="eastAsia"/>
              </w:rPr>
              <w:t>指标</w:t>
            </w:r>
          </w:p>
        </w:tc>
        <w:tc>
          <w:tcPr>
            <w:tcW w:w="2126" w:type="dxa"/>
            <w:gridSpan w:val="3"/>
            <w:vAlign w:val="center"/>
          </w:tcPr>
          <w:p w14:paraId="1FB2E60A">
            <w:r>
              <w:rPr>
                <w:rFonts w:hint="eastAsia"/>
              </w:rPr>
              <w:t>为公众提供数据服务质量</w:t>
            </w:r>
          </w:p>
        </w:tc>
        <w:tc>
          <w:tcPr>
            <w:tcW w:w="1276" w:type="dxa"/>
            <w:gridSpan w:val="2"/>
            <w:vAlign w:val="center"/>
          </w:tcPr>
          <w:p w14:paraId="2D2FD8CA">
            <w:r>
              <w:rPr>
                <w:rFonts w:hint="eastAsia"/>
              </w:rPr>
              <w:t>有所提升　</w:t>
            </w:r>
          </w:p>
        </w:tc>
        <w:tc>
          <w:tcPr>
            <w:tcW w:w="1276" w:type="dxa"/>
            <w:vAlign w:val="center"/>
          </w:tcPr>
          <w:p w14:paraId="1F9C77FB">
            <w:r>
              <w:rPr>
                <w:rFonts w:hint="eastAsia"/>
              </w:rPr>
              <w:t>按计划完成　</w:t>
            </w:r>
          </w:p>
        </w:tc>
        <w:tc>
          <w:tcPr>
            <w:tcW w:w="731" w:type="dxa"/>
            <w:vAlign w:val="center"/>
          </w:tcPr>
          <w:p w14:paraId="50B38D4F">
            <w:r>
              <w:rPr>
                <w:rFonts w:hint="eastAsia"/>
              </w:rPr>
              <w:t>30</w:t>
            </w:r>
          </w:p>
        </w:tc>
      </w:tr>
      <w:tr w14:paraId="4F365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28" w:type="dxa"/>
            <w:vMerge w:val="continue"/>
            <w:vAlign w:val="center"/>
          </w:tcPr>
          <w:p w14:paraId="7AB9552F"/>
        </w:tc>
        <w:tc>
          <w:tcPr>
            <w:tcW w:w="1294" w:type="dxa"/>
            <w:vAlign w:val="center"/>
          </w:tcPr>
          <w:p w14:paraId="5A0CEA8E">
            <w:r>
              <w:t>满意度指标</w:t>
            </w:r>
          </w:p>
          <w:p w14:paraId="3A0F0F71">
            <w:r>
              <w:t>（</w:t>
            </w:r>
            <w:r>
              <w:rPr>
                <w:rFonts w:hint="eastAsia"/>
              </w:rPr>
              <w:t>20</w:t>
            </w:r>
            <w:r>
              <w:t>分）</w:t>
            </w:r>
          </w:p>
        </w:tc>
        <w:tc>
          <w:tcPr>
            <w:tcW w:w="1417" w:type="dxa"/>
            <w:vAlign w:val="center"/>
          </w:tcPr>
          <w:p w14:paraId="4631A484">
            <w:r>
              <w:rPr>
                <w:rFonts w:hint="eastAsia"/>
              </w:rPr>
              <w:t>服务对象满意度指标</w:t>
            </w:r>
          </w:p>
        </w:tc>
        <w:tc>
          <w:tcPr>
            <w:tcW w:w="2126" w:type="dxa"/>
            <w:gridSpan w:val="3"/>
            <w:vAlign w:val="center"/>
          </w:tcPr>
          <w:p w14:paraId="79813CFB">
            <w:r>
              <w:rPr>
                <w:rFonts w:hint="eastAsia"/>
              </w:rPr>
              <w:t>业务系统应用科室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满意度</w:t>
            </w:r>
          </w:p>
        </w:tc>
        <w:tc>
          <w:tcPr>
            <w:tcW w:w="1276" w:type="dxa"/>
            <w:gridSpan w:val="2"/>
            <w:vAlign w:val="center"/>
          </w:tcPr>
          <w:p w14:paraId="6E0D7200"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vAlign w:val="center"/>
          </w:tcPr>
          <w:p w14:paraId="14DB5DEB">
            <w:r>
              <w:rPr>
                <w:rFonts w:hint="eastAsia"/>
              </w:rPr>
              <w:t>按计划完成</w:t>
            </w:r>
          </w:p>
        </w:tc>
        <w:tc>
          <w:tcPr>
            <w:tcW w:w="731" w:type="dxa"/>
            <w:vAlign w:val="center"/>
          </w:tcPr>
          <w:p w14:paraId="3EAEB3D9">
            <w:r>
              <w:rPr>
                <w:rFonts w:hint="eastAsia"/>
              </w:rPr>
              <w:t>20</w:t>
            </w:r>
          </w:p>
        </w:tc>
      </w:tr>
      <w:tr w14:paraId="56F1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 w14:paraId="73ADF740">
            <w:r>
              <w:t>总分</w:t>
            </w:r>
          </w:p>
        </w:tc>
        <w:tc>
          <w:tcPr>
            <w:tcW w:w="8120" w:type="dxa"/>
            <w:gridSpan w:val="9"/>
            <w:vAlign w:val="center"/>
          </w:tcPr>
          <w:p w14:paraId="73F346D6">
            <w:r>
              <w:rPr>
                <w:rFonts w:hint="eastAsia"/>
              </w:rPr>
              <w:t>96.13</w:t>
            </w:r>
          </w:p>
        </w:tc>
      </w:tr>
      <w:tr w14:paraId="78E8D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122" w:type="dxa"/>
            <w:gridSpan w:val="2"/>
            <w:vAlign w:val="center"/>
          </w:tcPr>
          <w:p w14:paraId="07A9D0FA">
            <w:r>
              <w:t>偏差大或</w:t>
            </w:r>
          </w:p>
          <w:p w14:paraId="18C2C84F">
            <w:r>
              <w:t>目标未完成</w:t>
            </w:r>
          </w:p>
          <w:p w14:paraId="038B4F1A">
            <w:r>
              <w:t>原因分析</w:t>
            </w:r>
          </w:p>
        </w:tc>
        <w:tc>
          <w:tcPr>
            <w:tcW w:w="6826" w:type="dxa"/>
            <w:gridSpan w:val="8"/>
            <w:vAlign w:val="center"/>
          </w:tcPr>
          <w:p w14:paraId="1266481A">
            <w:pPr>
              <w:ind w:firstLine="420" w:firstLineChars="200"/>
              <w:jc w:val="left"/>
            </w:pPr>
            <w:r>
              <w:rPr>
                <w:rFonts w:hint="eastAsia"/>
              </w:rPr>
              <w:t>年度预算中剩余未支付的43.7万费用，因项目为跨年合同，尾款需在2025年完成项目后支付。</w:t>
            </w:r>
          </w:p>
        </w:tc>
      </w:tr>
      <w:tr w14:paraId="7C67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122" w:type="dxa"/>
            <w:gridSpan w:val="2"/>
            <w:vAlign w:val="center"/>
          </w:tcPr>
          <w:p w14:paraId="17404CC0">
            <w:r>
              <w:t>改进措施及</w:t>
            </w:r>
          </w:p>
          <w:p w14:paraId="18CD1D05">
            <w:r>
              <w:t>结果应用方案</w:t>
            </w:r>
          </w:p>
        </w:tc>
        <w:tc>
          <w:tcPr>
            <w:tcW w:w="6826" w:type="dxa"/>
            <w:gridSpan w:val="8"/>
            <w:vAlign w:val="center"/>
          </w:tcPr>
          <w:p w14:paraId="0FDF164C">
            <w:pPr>
              <w:ind w:firstLine="420" w:firstLineChars="200"/>
              <w:jc w:val="left"/>
            </w:pPr>
            <w:r>
              <w:rPr>
                <w:rFonts w:hint="eastAsia"/>
              </w:rPr>
              <w:t>逐步调整项目合同期限，尽量避免因跨年合同导致预算使用率低的问题。</w:t>
            </w:r>
          </w:p>
        </w:tc>
      </w:tr>
      <w:tr w14:paraId="2AB3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122" w:type="dxa"/>
            <w:gridSpan w:val="2"/>
            <w:vAlign w:val="center"/>
          </w:tcPr>
          <w:p w14:paraId="18928AD3">
            <w:r>
              <w:t>单位主要负责人</w:t>
            </w:r>
          </w:p>
          <w:p w14:paraId="48E4776D">
            <w:r>
              <w:t>签批意见</w:t>
            </w:r>
          </w:p>
        </w:tc>
        <w:tc>
          <w:tcPr>
            <w:tcW w:w="6826" w:type="dxa"/>
            <w:gridSpan w:val="8"/>
            <w:vAlign w:val="center"/>
          </w:tcPr>
          <w:p w14:paraId="7FC661F7"/>
          <w:p w14:paraId="78A94AF8"/>
          <w:p w14:paraId="11AE113F"/>
          <w:p w14:paraId="5DD848D2"/>
          <w:p w14:paraId="4D6E7D33"/>
          <w:p w14:paraId="22C5F05C"/>
          <w:p w14:paraId="1EA2C34E">
            <w:r>
              <w:t xml:space="preserve">  </w:t>
            </w:r>
          </w:p>
          <w:p w14:paraId="652B3E8E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470BC8C5">
            <w:r>
              <w:t xml:space="preserve"> </w:t>
            </w:r>
          </w:p>
          <w:p w14:paraId="2A21F8B9"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744F8BCC">
            <w:r>
              <w:t xml:space="preserve"> </w:t>
            </w:r>
          </w:p>
        </w:tc>
      </w:tr>
    </w:tbl>
    <w:p w14:paraId="32EB38F7">
      <w:pPr>
        <w:jc w:val="left"/>
      </w:pPr>
      <w:r>
        <w:t>备注：</w:t>
      </w:r>
    </w:p>
    <w:p w14:paraId="04F52E28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4CF86084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6F9B7354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39A45361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701F7F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247840F7"/>
    <w:rsid w:val="25D1296A"/>
    <w:rsid w:val="6DD867EA"/>
    <w:rsid w:val="7B4C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886</Words>
  <Characters>971</Characters>
  <Lines>8</Lines>
  <Paragraphs>2</Paragraphs>
  <TotalTime>41</TotalTime>
  <ScaleCrop>false</ScaleCrop>
  <LinksUpToDate>false</LinksUpToDate>
  <CharactersWithSpaces>1057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君肖肖_</cp:lastModifiedBy>
  <cp:lastPrinted>2025-01-09T02:52:00Z</cp:lastPrinted>
  <dcterms:modified xsi:type="dcterms:W3CDTF">2025-03-28T02:15:39Z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