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6E7781">
      <w:pPr>
        <w:widowControl/>
        <w:ind w:firstLine="720" w:firstLineChars="200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 w:bidi="zh-TW"/>
        </w:rPr>
      </w:pPr>
      <w:r>
        <w:rPr>
          <w:rFonts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 w:bidi="zh-TW"/>
        </w:rPr>
        <w:t>武汉市东西湖区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 w:bidi="zh-TW"/>
        </w:rPr>
        <w:t>自然资源和城乡建设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 w:bidi="zh-TW"/>
        </w:rPr>
        <w:t>局</w:t>
      </w:r>
      <w:bookmarkStart w:id="8" w:name="_GoBack"/>
      <w:bookmarkEnd w:id="8"/>
    </w:p>
    <w:p w14:paraId="271C5E83">
      <w:pPr>
        <w:spacing w:line="560" w:lineRule="exact"/>
        <w:ind w:firstLine="720" w:firstLineChars="200"/>
        <w:jc w:val="center"/>
        <w:rPr>
          <w:rFonts w:ascii="仿宋" w:hAnsi="仿宋" w:eastAsia="仿宋" w:cs="仿宋"/>
          <w:b w:val="0"/>
          <w:bCs w:val="0"/>
          <w:sz w:val="36"/>
          <w:szCs w:val="36"/>
          <w:lang w:eastAsia="zh-CN"/>
        </w:rPr>
      </w:pPr>
      <w:bookmarkStart w:id="0" w:name="_Hlk102642258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 w:bidi="zh-TW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 w:bidi="zh-TW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 w:bidi="zh-TW"/>
        </w:rPr>
        <w:t>年度建筑行业第三方服务费项目</w:t>
      </w:r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 w:bidi="zh-TW"/>
        </w:rPr>
        <w:t>自评结果</w:t>
      </w:r>
    </w:p>
    <w:p w14:paraId="7787363C">
      <w:pPr>
        <w:pStyle w:val="5"/>
        <w:tabs>
          <w:tab w:val="left" w:pos="1116"/>
        </w:tabs>
        <w:spacing w:line="560" w:lineRule="exact"/>
        <w:ind w:firstLine="3724" w:firstLineChars="1164"/>
        <w:jc w:val="both"/>
        <w:rPr>
          <w:rFonts w:ascii="楷体" w:hAnsi="楷体" w:eastAsia="楷体" w:cs="楷体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（摘要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版）</w:t>
      </w:r>
    </w:p>
    <w:p w14:paraId="7AA03E8A">
      <w:pPr>
        <w:pStyle w:val="5"/>
        <w:tabs>
          <w:tab w:val="left" w:pos="1116"/>
        </w:tabs>
        <w:spacing w:line="560" w:lineRule="exact"/>
        <w:ind w:firstLine="3724" w:firstLineChars="1164"/>
        <w:jc w:val="both"/>
        <w:rPr>
          <w:rFonts w:ascii="楷体" w:hAnsi="楷体" w:eastAsia="楷体" w:cs="楷体"/>
          <w:sz w:val="32"/>
          <w:szCs w:val="32"/>
          <w:lang w:eastAsia="zh-CN"/>
        </w:rPr>
      </w:pPr>
    </w:p>
    <w:p w14:paraId="25FB8CE8">
      <w:pPr>
        <w:spacing w:before="154" w:line="232" w:lineRule="auto"/>
        <w:ind w:firstLine="592" w:firstLineChars="200"/>
        <w:rPr>
          <w:rFonts w:hint="eastAsia" w:ascii="黑体" w:hAnsi="黑体" w:eastAsia="黑体" w:cs="黑体"/>
          <w:b w:val="0"/>
          <w:bCs w:val="0"/>
          <w:snapToGrid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spacing w:val="-12"/>
          <w:sz w:val="32"/>
          <w:szCs w:val="32"/>
          <w:highlight w:val="none"/>
          <w:lang w:val="en-US" w:eastAsia="zh-CN"/>
        </w:rPr>
        <w:t xml:space="preserve">1 </w:t>
      </w:r>
      <w:r>
        <w:rPr>
          <w:rFonts w:hint="eastAsia" w:ascii="黑体" w:hAnsi="黑体" w:eastAsia="黑体" w:cs="黑体"/>
          <w:snapToGrid/>
          <w:color w:val="000000"/>
          <w:spacing w:val="0"/>
          <w:w w:val="100"/>
          <w:kern w:val="0"/>
          <w:position w:val="0"/>
          <w:sz w:val="32"/>
          <w:szCs w:val="32"/>
          <w:highlight w:val="none"/>
          <w:u w:val="none"/>
          <w:shd w:val="clear" w:color="auto" w:fill="auto"/>
          <w:lang w:val="en-US" w:eastAsia="zh-CN" w:bidi="zh-TW"/>
        </w:rPr>
        <w:t>评价结论</w:t>
      </w:r>
    </w:p>
    <w:p w14:paraId="55140D96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1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 w:firstLine="640" w:firstLineChars="200"/>
        <w:jc w:val="left"/>
        <w:textAlignment w:val="auto"/>
        <w:rPr>
          <w:rFonts w:hint="eastAsia" w:ascii="楷体" w:hAnsi="楷体" w:eastAsia="楷体" w:cs="楷体"/>
          <w:snapToGrid/>
          <w:color w:val="000000"/>
          <w:spacing w:val="0"/>
          <w:w w:val="100"/>
          <w:kern w:val="0"/>
          <w:position w:val="0"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 w:cs="楷体"/>
          <w:snapToGrid/>
          <w:color w:val="000000"/>
          <w:spacing w:val="0"/>
          <w:w w:val="100"/>
          <w:kern w:val="0"/>
          <w:position w:val="0"/>
          <w:sz w:val="32"/>
          <w:szCs w:val="32"/>
          <w:highlight w:val="none"/>
          <w:lang w:val="en-US" w:eastAsia="zh-CN"/>
        </w:rPr>
        <w:t>1.1 评价</w:t>
      </w:r>
      <w:r>
        <w:rPr>
          <w:rFonts w:hint="eastAsia" w:ascii="楷体" w:hAnsi="楷体" w:eastAsia="楷体" w:cs="楷体"/>
          <w:snapToGrid/>
          <w:color w:val="000000"/>
          <w:spacing w:val="0"/>
          <w:w w:val="100"/>
          <w:kern w:val="0"/>
          <w:position w:val="0"/>
          <w:sz w:val="32"/>
          <w:szCs w:val="32"/>
          <w:highlight w:val="none"/>
          <w:lang w:eastAsia="zh-CN"/>
        </w:rPr>
        <w:t>得分</w:t>
      </w:r>
    </w:p>
    <w:p w14:paraId="16B9453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根据项目绩效评价标准和对项目绩效目标完成情况的分析，</w:t>
      </w:r>
      <w:bookmarkStart w:id="1" w:name="_Hlk103260066"/>
      <w:bookmarkStart w:id="2" w:name="_Hlk102633738"/>
      <w:r>
        <w:rPr>
          <w:rFonts w:hint="eastAsia" w:ascii="仿宋" w:hAnsi="仿宋" w:eastAsia="仿宋" w:cs="仿宋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度建筑行业第三方服务费项目</w:t>
      </w:r>
      <w:bookmarkEnd w:id="1"/>
      <w:bookmarkEnd w:id="2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（以下简称“项目”）自评得分为82.43分。</w:t>
      </w:r>
    </w:p>
    <w:tbl>
      <w:tblPr>
        <w:tblStyle w:val="3"/>
        <w:tblW w:w="4800" w:type="pct"/>
        <w:tblInd w:w="92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1654"/>
        <w:gridCol w:w="1654"/>
        <w:gridCol w:w="1654"/>
        <w:gridCol w:w="1657"/>
      </w:tblGrid>
      <w:tr w14:paraId="2C2A34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23F6A">
            <w:pPr>
              <w:widowControl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 w:bidi="ar"/>
              </w:rPr>
              <w:t>评价项目</w:t>
            </w:r>
          </w:p>
        </w:tc>
        <w:tc>
          <w:tcPr>
            <w:tcW w:w="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2F7BF">
            <w:pPr>
              <w:widowControl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 w:bidi="ar"/>
              </w:rPr>
              <w:t>权重</w:t>
            </w:r>
          </w:p>
        </w:tc>
        <w:tc>
          <w:tcPr>
            <w:tcW w:w="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D26F8">
            <w:pPr>
              <w:widowControl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 w:bidi="ar"/>
              </w:rPr>
              <w:t>评级分值</w:t>
            </w:r>
          </w:p>
        </w:tc>
        <w:tc>
          <w:tcPr>
            <w:tcW w:w="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9E5DC">
            <w:pPr>
              <w:widowControl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 w:bidi="ar"/>
              </w:rPr>
              <w:t>本项得分</w:t>
            </w:r>
          </w:p>
        </w:tc>
        <w:tc>
          <w:tcPr>
            <w:tcW w:w="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FF45F">
            <w:pPr>
              <w:widowControl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 w:bidi="ar"/>
              </w:rPr>
              <w:t>得分率</w:t>
            </w:r>
          </w:p>
        </w:tc>
      </w:tr>
      <w:tr w14:paraId="25A32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6A6F9">
            <w:pPr>
              <w:widowControl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预算执行情况</w:t>
            </w:r>
          </w:p>
        </w:tc>
        <w:tc>
          <w:tcPr>
            <w:tcW w:w="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68423">
            <w:pPr>
              <w:widowControl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20%</w:t>
            </w:r>
          </w:p>
        </w:tc>
        <w:tc>
          <w:tcPr>
            <w:tcW w:w="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182B8">
            <w:pPr>
              <w:widowControl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2</w:t>
            </w:r>
            <w:r>
              <w:rPr>
                <w:rFonts w:ascii="仿宋" w:hAnsi="仿宋" w:eastAsia="仿宋" w:cs="仿宋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764D2">
            <w:pPr>
              <w:widowControl/>
              <w:spacing w:line="560" w:lineRule="exact"/>
              <w:jc w:val="center"/>
              <w:textAlignment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2.43</w:t>
            </w:r>
          </w:p>
        </w:tc>
        <w:tc>
          <w:tcPr>
            <w:tcW w:w="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92A07">
            <w:pPr>
              <w:widowControl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12.13</w:t>
            </w:r>
            <w:r>
              <w:rPr>
                <w:rFonts w:ascii="仿宋" w:hAnsi="仿宋" w:eastAsia="仿宋" w:cs="仿宋"/>
                <w:sz w:val="24"/>
                <w:szCs w:val="24"/>
                <w:lang w:eastAsia="zh-CN"/>
              </w:rPr>
              <w:t>%</w:t>
            </w:r>
          </w:p>
        </w:tc>
      </w:tr>
      <w:tr w14:paraId="47DAF1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C63CE">
            <w:pPr>
              <w:widowControl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项目产出</w:t>
            </w:r>
          </w:p>
        </w:tc>
        <w:tc>
          <w:tcPr>
            <w:tcW w:w="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E52AB">
            <w:pPr>
              <w:widowControl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0%</w:t>
            </w:r>
          </w:p>
        </w:tc>
        <w:tc>
          <w:tcPr>
            <w:tcW w:w="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36A59">
            <w:pPr>
              <w:widowControl/>
              <w:spacing w:line="560" w:lineRule="exact"/>
              <w:jc w:val="center"/>
              <w:textAlignment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20C9B">
            <w:pPr>
              <w:widowControl/>
              <w:spacing w:line="560" w:lineRule="exact"/>
              <w:jc w:val="center"/>
              <w:textAlignment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72B38">
            <w:pPr>
              <w:widowControl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100</w:t>
            </w:r>
            <w:r>
              <w:rPr>
                <w:rFonts w:ascii="仿宋" w:hAnsi="仿宋" w:eastAsia="仿宋" w:cs="仿宋"/>
                <w:sz w:val="24"/>
                <w:szCs w:val="24"/>
                <w:lang w:eastAsia="zh-CN"/>
              </w:rPr>
              <w:t>%</w:t>
            </w:r>
          </w:p>
        </w:tc>
      </w:tr>
      <w:tr w14:paraId="3D3805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2B3FF">
            <w:pPr>
              <w:widowControl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项目满意度</w:t>
            </w:r>
          </w:p>
        </w:tc>
        <w:tc>
          <w:tcPr>
            <w:tcW w:w="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C4B72">
            <w:pPr>
              <w:widowControl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30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%</w:t>
            </w:r>
          </w:p>
        </w:tc>
        <w:tc>
          <w:tcPr>
            <w:tcW w:w="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65CB7">
            <w:pPr>
              <w:widowControl/>
              <w:spacing w:line="560" w:lineRule="exact"/>
              <w:jc w:val="center"/>
              <w:textAlignment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252BD">
            <w:pPr>
              <w:widowControl/>
              <w:spacing w:line="560" w:lineRule="exact"/>
              <w:jc w:val="center"/>
              <w:textAlignment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53692">
            <w:pPr>
              <w:widowControl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  <w:lang w:eastAsia="zh-CN"/>
              </w:rPr>
              <w:t>100%</w:t>
            </w:r>
          </w:p>
        </w:tc>
      </w:tr>
      <w:tr w14:paraId="35816D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9B9F2">
            <w:pPr>
              <w:widowControl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综合绩效</w:t>
            </w:r>
          </w:p>
        </w:tc>
        <w:tc>
          <w:tcPr>
            <w:tcW w:w="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9C3A9">
            <w:pPr>
              <w:widowControl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100%</w:t>
            </w:r>
          </w:p>
        </w:tc>
        <w:tc>
          <w:tcPr>
            <w:tcW w:w="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5A0B7">
            <w:pPr>
              <w:widowControl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</w:t>
            </w:r>
            <w:r>
              <w:rPr>
                <w:rFonts w:ascii="仿宋" w:hAnsi="仿宋" w:eastAsia="仿宋" w:cs="仿宋"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B3C20">
            <w:pPr>
              <w:widowControl/>
              <w:spacing w:line="560" w:lineRule="exact"/>
              <w:jc w:val="center"/>
              <w:textAlignment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82.43</w:t>
            </w:r>
          </w:p>
        </w:tc>
        <w:tc>
          <w:tcPr>
            <w:tcW w:w="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96653">
            <w:pPr>
              <w:widowControl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82.43</w:t>
            </w:r>
            <w:r>
              <w:rPr>
                <w:rFonts w:ascii="仿宋" w:hAnsi="仿宋" w:eastAsia="仿宋" w:cs="仿宋"/>
                <w:sz w:val="24"/>
                <w:szCs w:val="24"/>
                <w:lang w:eastAsia="zh-CN"/>
              </w:rPr>
              <w:t>%</w:t>
            </w:r>
          </w:p>
        </w:tc>
      </w:tr>
    </w:tbl>
    <w:p w14:paraId="0D3508E2">
      <w:pPr>
        <w:pStyle w:val="5"/>
        <w:numPr>
          <w:ilvl w:val="0"/>
          <w:numId w:val="0"/>
        </w:numPr>
        <w:tabs>
          <w:tab w:val="left" w:pos="1116"/>
        </w:tabs>
        <w:spacing w:line="560" w:lineRule="exact"/>
        <w:ind w:firstLine="640" w:firstLineChars="200"/>
        <w:rPr>
          <w:rFonts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napToGrid/>
          <w:color w:val="000000"/>
          <w:spacing w:val="0"/>
          <w:w w:val="100"/>
          <w:kern w:val="0"/>
          <w:position w:val="0"/>
          <w:sz w:val="32"/>
          <w:szCs w:val="32"/>
          <w:highlight w:val="none"/>
          <w:lang w:val="en-US" w:eastAsia="zh-CN"/>
        </w:rPr>
        <w:t xml:space="preserve">1.2 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绩效目标完成情况</w:t>
      </w:r>
    </w:p>
    <w:p w14:paraId="5146F484">
      <w:pPr>
        <w:pStyle w:val="5"/>
        <w:numPr>
          <w:ilvl w:val="0"/>
          <w:numId w:val="0"/>
        </w:numPr>
        <w:tabs>
          <w:tab w:val="left" w:pos="1116"/>
        </w:tabs>
        <w:spacing w:line="560" w:lineRule="exact"/>
        <w:ind w:firstLine="640" w:firstLineChars="200"/>
        <w:rPr>
          <w:rFonts w:ascii="楷体" w:hAnsi="楷体" w:eastAsia="楷体" w:cs="楷体"/>
          <w:sz w:val="32"/>
          <w:szCs w:val="32"/>
          <w:lang w:val="en-US" w:eastAsia="zh-CN"/>
        </w:rPr>
      </w:pPr>
      <w:bookmarkStart w:id="3" w:name="bookmark44"/>
      <w:bookmarkEnd w:id="3"/>
      <w:r>
        <w:rPr>
          <w:rFonts w:hint="eastAsia" w:ascii="楷体" w:hAnsi="楷体" w:eastAsia="楷体" w:cs="楷体"/>
          <w:snapToGrid/>
          <w:color w:val="000000"/>
          <w:spacing w:val="0"/>
          <w:w w:val="100"/>
          <w:kern w:val="0"/>
          <w:position w:val="0"/>
          <w:sz w:val="32"/>
          <w:szCs w:val="32"/>
          <w:highlight w:val="none"/>
          <w:lang w:val="en-US" w:eastAsia="zh-CN"/>
        </w:rPr>
        <w:t xml:space="preserve">1.2.1 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执行率情况</w:t>
      </w:r>
    </w:p>
    <w:p w14:paraId="4B2CE5C0">
      <w:pPr>
        <w:pStyle w:val="5"/>
        <w:tabs>
          <w:tab w:val="left" w:pos="1418"/>
          <w:tab w:val="left" w:pos="7216"/>
          <w:tab w:val="left" w:pos="7302"/>
        </w:tabs>
        <w:spacing w:line="560" w:lineRule="exact"/>
        <w:ind w:left="0" w:leftChars="0"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en-U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2024年度项目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en-US"/>
        </w:rPr>
        <w:t>预算批复资金总额为1102.516282万元，2024年项目资金实际支出执行数133.72万元，预算执行率12.13%。</w:t>
      </w:r>
    </w:p>
    <w:p w14:paraId="2D78C272">
      <w:pPr>
        <w:pStyle w:val="5"/>
        <w:numPr>
          <w:ilvl w:val="0"/>
          <w:numId w:val="0"/>
        </w:numPr>
        <w:tabs>
          <w:tab w:val="left" w:pos="1116"/>
        </w:tabs>
        <w:spacing w:line="560" w:lineRule="exact"/>
        <w:ind w:firstLine="640" w:firstLineChars="200"/>
        <w:rPr>
          <w:rFonts w:ascii="楷体" w:hAnsi="楷体" w:eastAsia="楷体" w:cs="楷体"/>
          <w:sz w:val="32"/>
          <w:szCs w:val="32"/>
          <w:lang w:val="en-US" w:eastAsia="zh-CN"/>
        </w:rPr>
      </w:pPr>
      <w:bookmarkStart w:id="4" w:name="bookmark45"/>
      <w:bookmarkEnd w:id="4"/>
      <w:r>
        <w:rPr>
          <w:rFonts w:hint="eastAsia" w:ascii="楷体" w:hAnsi="楷体" w:eastAsia="楷体" w:cs="楷体"/>
          <w:snapToGrid/>
          <w:color w:val="000000"/>
          <w:spacing w:val="0"/>
          <w:w w:val="100"/>
          <w:kern w:val="0"/>
          <w:position w:val="0"/>
          <w:sz w:val="32"/>
          <w:szCs w:val="32"/>
          <w:highlight w:val="none"/>
          <w:lang w:val="en-US" w:eastAsia="zh-CN"/>
        </w:rPr>
        <w:t xml:space="preserve">1.2.2 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完成的绩效目标</w:t>
      </w:r>
    </w:p>
    <w:p w14:paraId="2D0B3AA8">
      <w:pPr>
        <w:pStyle w:val="5"/>
        <w:tabs>
          <w:tab w:val="left" w:pos="1418"/>
          <w:tab w:val="left" w:pos="7216"/>
          <w:tab w:val="left" w:pos="7302"/>
        </w:tabs>
        <w:spacing w:line="560" w:lineRule="exact"/>
        <w:ind w:left="0" w:leftChars="0"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en-U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项目共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en-US"/>
        </w:rPr>
        <w:t>设置10个绩效指标，完成10个。资金使用规范，项目产出较好。</w:t>
      </w:r>
    </w:p>
    <w:p w14:paraId="57087AB2">
      <w:pPr>
        <w:pStyle w:val="5"/>
        <w:numPr>
          <w:ilvl w:val="0"/>
          <w:numId w:val="0"/>
        </w:numPr>
        <w:tabs>
          <w:tab w:val="left" w:pos="1116"/>
        </w:tabs>
        <w:spacing w:line="560" w:lineRule="exact"/>
        <w:ind w:firstLine="640" w:firstLineChars="200"/>
        <w:rPr>
          <w:rFonts w:ascii="楷体" w:hAnsi="楷体" w:eastAsia="楷体" w:cs="楷体"/>
          <w:sz w:val="32"/>
          <w:szCs w:val="32"/>
          <w:lang w:val="en-US" w:eastAsia="zh-CN"/>
        </w:rPr>
      </w:pPr>
      <w:bookmarkStart w:id="5" w:name="bookmark46"/>
      <w:bookmarkEnd w:id="5"/>
      <w:r>
        <w:rPr>
          <w:rFonts w:hint="eastAsia" w:ascii="楷体" w:hAnsi="楷体" w:eastAsia="楷体" w:cs="楷体"/>
          <w:snapToGrid/>
          <w:color w:val="000000"/>
          <w:spacing w:val="0"/>
          <w:w w:val="100"/>
          <w:kern w:val="0"/>
          <w:position w:val="0"/>
          <w:sz w:val="32"/>
          <w:szCs w:val="32"/>
          <w:highlight w:val="none"/>
          <w:lang w:val="en-US" w:eastAsia="zh-CN"/>
        </w:rPr>
        <w:t xml:space="preserve">1.2.3 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未完成的绩效目标</w:t>
      </w:r>
    </w:p>
    <w:p w14:paraId="1579F756">
      <w:pPr>
        <w:pStyle w:val="5"/>
        <w:tabs>
          <w:tab w:val="left" w:pos="927"/>
        </w:tabs>
        <w:spacing w:line="560" w:lineRule="exact"/>
        <w:ind w:firstLine="960" w:firstLineChars="300"/>
        <w:rPr>
          <w:rFonts w:ascii="仿宋" w:hAnsi="仿宋" w:eastAsia="仿宋" w:cs="仿宋"/>
          <w:sz w:val="32"/>
          <w:szCs w:val="32"/>
          <w:lang w:val="en-US" w:eastAsia="zh-CN"/>
        </w:rPr>
      </w:pPr>
      <w:bookmarkStart w:id="6" w:name="_Hlk101707364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无。</w:t>
      </w:r>
      <w:r>
        <w:rPr>
          <w:rFonts w:ascii="仿宋" w:hAnsi="仿宋" w:eastAsia="仿宋" w:cs="仿宋"/>
          <w:sz w:val="32"/>
          <w:szCs w:val="32"/>
          <w:lang w:val="en-US" w:eastAsia="zh-CN"/>
        </w:rPr>
        <w:t xml:space="preserve"> </w:t>
      </w:r>
    </w:p>
    <w:bookmarkEnd w:id="6"/>
    <w:p w14:paraId="0D172006">
      <w:pPr>
        <w:pStyle w:val="5"/>
        <w:numPr>
          <w:ilvl w:val="0"/>
          <w:numId w:val="0"/>
        </w:numPr>
        <w:tabs>
          <w:tab w:val="left" w:pos="1116"/>
        </w:tabs>
        <w:spacing w:line="560" w:lineRule="exact"/>
        <w:ind w:firstLine="640" w:firstLineChars="200"/>
        <w:rPr>
          <w:rFonts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napToGrid/>
          <w:color w:val="000000"/>
          <w:spacing w:val="0"/>
          <w:w w:val="100"/>
          <w:kern w:val="0"/>
          <w:position w:val="0"/>
          <w:sz w:val="32"/>
          <w:szCs w:val="32"/>
          <w:highlight w:val="none"/>
          <w:lang w:val="en-US" w:eastAsia="zh-CN"/>
        </w:rPr>
        <w:t xml:space="preserve">1.3 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本年度绩效存在的问题和原因</w:t>
      </w:r>
    </w:p>
    <w:p w14:paraId="5DA182AD">
      <w:pPr>
        <w:pStyle w:val="5"/>
        <w:tabs>
          <w:tab w:val="left" w:pos="1418"/>
        </w:tabs>
        <w:spacing w:line="560" w:lineRule="exact"/>
        <w:ind w:left="0" w:leftChars="0" w:firstLine="640" w:firstLineChars="200"/>
        <w:rPr>
          <w:rFonts w:hint="eastAsia" w:ascii="仿宋" w:hAnsi="仿宋" w:eastAsia="仿宋" w:cs="楷体"/>
          <w:sz w:val="32"/>
          <w:szCs w:val="32"/>
          <w:lang w:val="en-US" w:eastAsia="zh-CN"/>
        </w:rPr>
      </w:pPr>
      <w:r>
        <w:rPr>
          <w:rFonts w:hint="eastAsia" w:ascii="仿宋" w:hAnsi="仿宋" w:eastAsia="仿宋" w:cs="楷体"/>
          <w:sz w:val="32"/>
          <w:szCs w:val="32"/>
          <w:lang w:val="en-US" w:eastAsia="zh-CN"/>
        </w:rPr>
        <w:t>本年度执行率为12.13%，预算未执行完主要原因：一是合同中标价与预算金额存在偏差；二是财政资金紧张预算资金未能落实到位，部分服务合同跨期支付导致资金结余。</w:t>
      </w:r>
    </w:p>
    <w:p w14:paraId="0ECE1349">
      <w:pPr>
        <w:pStyle w:val="5"/>
        <w:numPr>
          <w:ilvl w:val="0"/>
          <w:numId w:val="0"/>
        </w:numPr>
        <w:tabs>
          <w:tab w:val="left" w:pos="1116"/>
        </w:tabs>
        <w:spacing w:line="56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napToGrid/>
          <w:color w:val="000000"/>
          <w:spacing w:val="0"/>
          <w:w w:val="100"/>
          <w:kern w:val="0"/>
          <w:position w:val="0"/>
          <w:sz w:val="32"/>
          <w:szCs w:val="32"/>
          <w:highlight w:val="none"/>
          <w:lang w:val="en-US" w:eastAsia="zh-CN"/>
        </w:rPr>
        <w:t xml:space="preserve">1.4 </w:t>
      </w:r>
      <w:r>
        <w:rPr>
          <w:rFonts w:hint="eastAsia" w:ascii="楷体" w:hAnsi="楷体" w:eastAsia="楷体" w:cs="楷体"/>
          <w:sz w:val="32"/>
          <w:szCs w:val="32"/>
        </w:rPr>
        <w:t>下一步拟改进措施</w:t>
      </w:r>
    </w:p>
    <w:p w14:paraId="4B7CC314">
      <w:pPr>
        <w:pStyle w:val="5"/>
        <w:tabs>
          <w:tab w:val="left" w:pos="1418"/>
          <w:tab w:val="left" w:pos="7216"/>
          <w:tab w:val="left" w:pos="7302"/>
        </w:tabs>
        <w:spacing w:line="560" w:lineRule="exact"/>
        <w:ind w:left="0" w:leftChars="0" w:firstLine="640" w:firstLineChars="200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napToGrid/>
          <w:color w:val="000000"/>
          <w:spacing w:val="0"/>
          <w:w w:val="100"/>
          <w:kern w:val="0"/>
          <w:position w:val="0"/>
          <w:sz w:val="32"/>
          <w:szCs w:val="32"/>
          <w:highlight w:val="none"/>
          <w:lang w:val="en-US" w:eastAsia="zh-CN"/>
        </w:rPr>
        <w:t xml:space="preserve">1.4.1 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下一步拟改进措施</w:t>
      </w:r>
      <w:bookmarkStart w:id="7" w:name="bookmark49"/>
      <w:bookmarkEnd w:id="7"/>
    </w:p>
    <w:p w14:paraId="62A1F44A">
      <w:pPr>
        <w:pStyle w:val="5"/>
        <w:tabs>
          <w:tab w:val="left" w:pos="1418"/>
          <w:tab w:val="left" w:pos="7216"/>
          <w:tab w:val="left" w:pos="7302"/>
        </w:tabs>
        <w:spacing w:line="560" w:lineRule="exact"/>
        <w:ind w:left="0" w:leftChars="0" w:firstLine="640" w:firstLineChars="200"/>
        <w:rPr>
          <w:rFonts w:hint="eastAsia" w:ascii="仿宋" w:hAnsi="仿宋" w:eastAsia="仿宋" w:cs="楷体"/>
          <w:sz w:val="32"/>
          <w:szCs w:val="32"/>
          <w:lang w:val="en-US" w:eastAsia="zh-CN"/>
        </w:rPr>
      </w:pPr>
      <w:r>
        <w:rPr>
          <w:rFonts w:hint="eastAsia" w:ascii="仿宋" w:hAnsi="仿宋" w:eastAsia="仿宋" w:cs="楷体"/>
          <w:sz w:val="32"/>
          <w:szCs w:val="32"/>
          <w:lang w:val="en-US" w:eastAsia="zh-CN"/>
        </w:rPr>
        <w:t>进一步加强各科室《预算法》《行政单位会计制度》等相关方面的业务培训学习，优化预算编制，强化执行过程中的监控，及时了解预算执行情况，分析并纠正预算执行偏差，提高预算执行率。</w:t>
      </w:r>
    </w:p>
    <w:p w14:paraId="23E05DCD">
      <w:pPr>
        <w:pStyle w:val="5"/>
        <w:tabs>
          <w:tab w:val="left" w:pos="1418"/>
          <w:tab w:val="left" w:pos="7216"/>
          <w:tab w:val="left" w:pos="7302"/>
        </w:tabs>
        <w:spacing w:line="560" w:lineRule="exact"/>
        <w:ind w:left="0" w:leftChars="0" w:firstLine="640" w:firstLineChars="200"/>
        <w:rPr>
          <w:rFonts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napToGrid/>
          <w:color w:val="000000"/>
          <w:spacing w:val="0"/>
          <w:w w:val="100"/>
          <w:kern w:val="0"/>
          <w:position w:val="0"/>
          <w:sz w:val="32"/>
          <w:szCs w:val="32"/>
          <w:highlight w:val="none"/>
          <w:lang w:val="en-US" w:eastAsia="zh-CN"/>
        </w:rPr>
        <w:t xml:space="preserve">1.4.2 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拟与预算安排相结合情况</w:t>
      </w:r>
    </w:p>
    <w:p w14:paraId="6B31F54E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418"/>
          <w:tab w:val="left" w:pos="7216"/>
          <w:tab w:val="left" w:pos="73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2024年度项目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en-US"/>
        </w:rPr>
        <w:t>预算批复资金总额为1102.516282万元，项目资金实际支出执行数133.72万元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。项目</w:t>
      </w:r>
      <w:r>
        <w:rPr>
          <w:rFonts w:hint="default" w:ascii="仿宋" w:hAnsi="仿宋" w:eastAsia="仿宋" w:cs="仿宋"/>
          <w:sz w:val="30"/>
          <w:szCs w:val="30"/>
          <w:lang w:val="en-US" w:eastAsia="zh-CN"/>
        </w:rPr>
        <w:t>实施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在</w:t>
      </w:r>
      <w:r>
        <w:rPr>
          <w:rFonts w:hint="default" w:ascii="仿宋" w:hAnsi="仿宋" w:eastAsia="仿宋" w:cs="仿宋"/>
          <w:sz w:val="30"/>
          <w:szCs w:val="30"/>
          <w:lang w:val="en-US" w:eastAsia="zh-CN"/>
        </w:rPr>
        <w:t>预算资金范围内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。</w:t>
      </w:r>
    </w:p>
    <w:p w14:paraId="1D21EBE7"/>
    <w:p w14:paraId="50CC5774"/>
    <w:p w14:paraId="0ECC51D2"/>
    <w:p w14:paraId="06E36AB3"/>
    <w:p w14:paraId="61555004">
      <w:pPr>
        <w:pStyle w:val="5"/>
        <w:tabs>
          <w:tab w:val="left" w:pos="1418"/>
          <w:tab w:val="left" w:pos="7216"/>
          <w:tab w:val="left" w:pos="7302"/>
        </w:tabs>
        <w:spacing w:line="560" w:lineRule="exact"/>
        <w:ind w:firstLine="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武汉市东西湖区自然资源和城乡建设局</w:t>
      </w:r>
    </w:p>
    <w:p w14:paraId="4BE1C615">
      <w:pPr>
        <w:pStyle w:val="5"/>
        <w:tabs>
          <w:tab w:val="left" w:pos="1418"/>
          <w:tab w:val="left" w:pos="7216"/>
          <w:tab w:val="left" w:pos="7302"/>
        </w:tabs>
        <w:spacing w:line="560" w:lineRule="exact"/>
        <w:ind w:firstLine="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2098" w:right="1474" w:bottom="2098" w:left="158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2025年4月9日</w:t>
      </w:r>
    </w:p>
    <w:p w14:paraId="0B85EDD8"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0A328D">
    <w:pPr>
      <w:spacing w:line="1" w:lineRule="exact"/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18FB06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18FB06">
                    <w:pPr>
                      <w:pStyle w:val="2"/>
                    </w:pPr>
                    <w: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C6192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FD4BF1"/>
    <w:rsid w:val="16C50998"/>
    <w:rsid w:val="1DFD4BF1"/>
    <w:rsid w:val="24373E9F"/>
    <w:rsid w:val="3D6D1CD5"/>
    <w:rsid w:val="411F4664"/>
    <w:rsid w:val="430B1F53"/>
    <w:rsid w:val="48AB53AA"/>
    <w:rsid w:val="6F9256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5">
    <w:name w:val="Body text|1"/>
    <w:basedOn w:val="1"/>
    <w:autoRedefine/>
    <w:qFormat/>
    <w:uiPriority w:val="0"/>
    <w:pPr>
      <w:spacing w:line="420" w:lineRule="auto"/>
      <w:ind w:firstLine="400"/>
    </w:pPr>
    <w:rPr>
      <w:rFonts w:ascii="宋体" w:hAnsi="宋体" w:eastAsia="宋体" w:cs="宋体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539</Words>
  <Characters>670</Characters>
  <Lines>0</Lines>
  <Paragraphs>0</Paragraphs>
  <TotalTime>1</TotalTime>
  <ScaleCrop>false</ScaleCrop>
  <LinksUpToDate>false</LinksUpToDate>
  <CharactersWithSpaces>734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2025-04-09T02:44:00Z</dcterms:created>
  <dc:creator>momo</dc:creator>
  <cp:lastModifiedBy>君肖肖_</cp:lastModifiedBy>
  <cp:lastPrinted>2025-04-09T06:57:00Z</cp:lastPrinted>
  <dcterms:modified xsi:type="dcterms:W3CDTF">2025-04-10T03:05:03Z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C60B7F34589247C5BD3E50E46A61BB13_11</vt:lpwstr>
  </property>
  <property fmtid="{D5CDD505-2E9C-101B-9397-08002B2CF9AE}" pid="4" name="KSOTemplateDocerSaveRecord">
    <vt:lpwstr>eyJoZGlkIjoiZGM3Yzk5ZmI2NThiOTcwNTk4ZDlmYmQ1MzYzMTRmNTciLCJ1c2VySWQiOiIxMDE1NDc3MzI0In0=</vt:lpwstr>
  </property>
</Properties>
</file>