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</w:t>
      </w:r>
      <w:r>
        <w:rPr>
          <w:rFonts w:eastAsia="黑体"/>
          <w:color w:val="000000"/>
          <w:kern w:val="0"/>
          <w:sz w:val="28"/>
          <w:szCs w:val="28"/>
        </w:rPr>
        <w:t>1</w:t>
      </w:r>
      <w:r>
        <w:rPr>
          <w:rFonts w:hAnsi="黑体" w:eastAsia="黑体"/>
          <w:color w:val="000000"/>
          <w:kern w:val="0"/>
          <w:sz w:val="28"/>
          <w:szCs w:val="28"/>
        </w:rPr>
        <w:t>：</w:t>
      </w:r>
    </w:p>
    <w:p>
      <w:pPr>
        <w:widowControl/>
        <w:spacing w:line="432" w:lineRule="atLeast"/>
        <w:jc w:val="center"/>
        <w:rPr>
          <w:rFonts w:hAnsi="方正小标宋简体"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  <w:lang w:val="en-US" w:eastAsia="zh-CN"/>
        </w:rPr>
        <w:t>2023</w:t>
      </w:r>
      <w:r>
        <w:rPr>
          <w:rFonts w:hAnsi="方正小标宋简体" w:eastAsia="方正小标宋简体"/>
          <w:color w:val="000000"/>
          <w:kern w:val="0"/>
          <w:sz w:val="40"/>
          <w:szCs w:val="40"/>
        </w:rPr>
        <w:t>年</w:t>
      </w:r>
      <w:r>
        <w:rPr>
          <w:rFonts w:ascii="Times New Roman" w:hAnsi="方正小标宋简体" w:eastAsia="方正小标宋简体" w:cs="Times New Roman"/>
          <w:color w:val="000000"/>
          <w:kern w:val="0"/>
          <w:sz w:val="40"/>
          <w:szCs w:val="40"/>
        </w:rPr>
        <w:t>度</w:t>
      </w:r>
      <w:r>
        <w:rPr>
          <w:rFonts w:hint="eastAsia" w:ascii="Times New Roman" w:hAnsi="方正小标宋简体" w:eastAsia="方正小标宋简体" w:cs="Times New Roman"/>
          <w:color w:val="000000"/>
          <w:kern w:val="0"/>
          <w:sz w:val="40"/>
          <w:szCs w:val="40"/>
          <w:lang w:val="en-US" w:eastAsia="zh-CN"/>
        </w:rPr>
        <w:t>综合办公运营支撑及档案管理</w:t>
      </w:r>
      <w:r>
        <w:rPr>
          <w:rFonts w:ascii="Times New Roman" w:hAnsi="方正小标宋简体" w:eastAsia="方正小标宋简体" w:cs="Times New Roman"/>
          <w:color w:val="000000"/>
          <w:kern w:val="0"/>
          <w:sz w:val="40"/>
          <w:szCs w:val="40"/>
        </w:rPr>
        <w:t>项</w:t>
      </w:r>
      <w:r>
        <w:rPr>
          <w:rFonts w:hAnsi="方正小标宋简体" w:eastAsia="方正小标宋简体"/>
          <w:color w:val="000000"/>
          <w:kern w:val="0"/>
          <w:sz w:val="40"/>
          <w:szCs w:val="40"/>
        </w:rPr>
        <w:t>目</w:t>
      </w:r>
    </w:p>
    <w:p>
      <w:pPr>
        <w:widowControl/>
        <w:spacing w:line="432" w:lineRule="atLeast"/>
        <w:jc w:val="center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Ansi="方正小标宋简体" w:eastAsia="方正小标宋简体"/>
          <w:color w:val="000000"/>
          <w:kern w:val="0"/>
          <w:sz w:val="40"/>
          <w:szCs w:val="40"/>
        </w:rPr>
        <w:t>绩效自评表</w:t>
      </w:r>
    </w:p>
    <w:p>
      <w:pPr>
        <w:widowControl/>
        <w:spacing w:line="432" w:lineRule="atLeast"/>
        <w:jc w:val="left"/>
        <w:rPr>
          <w:rFonts w:hint="default" w:eastAsia="楷体_GB2312"/>
          <w:color w:val="000000"/>
          <w:kern w:val="0"/>
          <w:sz w:val="24"/>
          <w:szCs w:val="24"/>
          <w:lang w:val="en-US" w:eastAsia="zh-CN"/>
        </w:rPr>
      </w:pPr>
      <w:r>
        <w:rPr>
          <w:rFonts w:eastAsia="楷体_GB2312"/>
          <w:color w:val="000000"/>
          <w:kern w:val="0"/>
          <w:sz w:val="24"/>
          <w:szCs w:val="24"/>
        </w:rPr>
        <w:t>　　单位名称：</w:t>
      </w:r>
      <w:r>
        <w:rPr>
          <w:rFonts w:hint="eastAsia" w:eastAsia="楷体_GB2312"/>
          <w:color w:val="000000"/>
          <w:kern w:val="0"/>
          <w:sz w:val="24"/>
          <w:szCs w:val="24"/>
          <w:lang w:val="en-US" w:eastAsia="zh-CN"/>
        </w:rPr>
        <w:t>东西湖区自然资源和规划局</w:t>
      </w:r>
      <w:r>
        <w:rPr>
          <w:rFonts w:eastAsia="楷体_GB2312"/>
          <w:color w:val="000000"/>
          <w:kern w:val="0"/>
          <w:sz w:val="24"/>
          <w:szCs w:val="24"/>
        </w:rPr>
        <w:t xml:space="preserve">      </w:t>
      </w:r>
      <w:bookmarkStart w:id="0" w:name="_GoBack"/>
      <w:bookmarkEnd w:id="0"/>
      <w:r>
        <w:rPr>
          <w:rFonts w:eastAsia="楷体_GB2312"/>
          <w:color w:val="000000"/>
          <w:kern w:val="0"/>
          <w:sz w:val="24"/>
          <w:szCs w:val="24"/>
        </w:rPr>
        <w:t>填报日期：</w:t>
      </w:r>
      <w:r>
        <w:rPr>
          <w:rFonts w:hint="eastAsia" w:eastAsia="楷体_GB2312"/>
          <w:color w:val="000000"/>
          <w:kern w:val="0"/>
          <w:sz w:val="24"/>
          <w:szCs w:val="24"/>
          <w:lang w:val="en-US" w:eastAsia="zh-CN"/>
        </w:rPr>
        <w:t>2024年4月18日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综合办公运营支撑及档案管理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东西湖区自然资源和规划局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档案信息中心</w:t>
            </w:r>
            <w:r>
              <w:rPr>
                <w:rFonts w:hAnsi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Ansi="宋体"/>
                <w:kern w:val="0"/>
              </w:rPr>
              <w:t>、部门预算项目</w:t>
            </w:r>
            <w:r>
              <w:rPr>
                <w:kern w:val="0"/>
              </w:rPr>
              <w:t xml:space="preserve">   </w:t>
            </w:r>
            <w:r>
              <w:rPr>
                <w:rFonts w:hint="eastAsia"/>
                <w:kern w:val="0"/>
                <w:lang w:eastAsia="zh-CN"/>
              </w:rPr>
              <w:t>☑</w:t>
            </w:r>
            <w:r>
              <w:rPr>
                <w:kern w:val="0"/>
              </w:rPr>
              <w:t xml:space="preserve">   2</w:t>
            </w:r>
            <w:r>
              <w:rPr>
                <w:rFonts w:hAnsi="宋体"/>
                <w:kern w:val="0"/>
              </w:rPr>
              <w:t>、区直专项</w:t>
            </w:r>
            <w:r>
              <w:rPr>
                <w:kern w:val="0"/>
              </w:rPr>
              <w:t xml:space="preserve">  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Ansi="宋体"/>
                <w:kern w:val="0"/>
              </w:rPr>
              <w:t>、持续性项目</w:t>
            </w: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  <w:lang w:eastAsia="zh-CN"/>
              </w:rPr>
              <w:t>☑</w:t>
            </w:r>
            <w:r>
              <w:rPr>
                <w:kern w:val="0"/>
              </w:rPr>
              <w:t xml:space="preserve">   2</w:t>
            </w:r>
            <w:r>
              <w:rPr>
                <w:rFonts w:hAnsi="宋体"/>
                <w:kern w:val="0"/>
              </w:rPr>
              <w:t>、新增性项目</w:t>
            </w:r>
            <w:r>
              <w:rPr>
                <w:kern w:val="0"/>
              </w:rPr>
              <w:t xml:space="preserve">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Ansi="宋体"/>
                <w:kern w:val="0"/>
              </w:rPr>
              <w:t>、常年性项目</w:t>
            </w: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  <w:lang w:eastAsia="zh-CN"/>
              </w:rPr>
              <w:t>☑</w:t>
            </w:r>
            <w:r>
              <w:rPr>
                <w:kern w:val="0"/>
              </w:rPr>
              <w:t xml:space="preserve">   2</w:t>
            </w:r>
            <w:r>
              <w:rPr>
                <w:rFonts w:hAnsi="宋体"/>
                <w:kern w:val="0"/>
              </w:rPr>
              <w:t>、延续性项目</w:t>
            </w:r>
            <w:r>
              <w:rPr>
                <w:kern w:val="0"/>
              </w:rPr>
              <w:t xml:space="preserve"> □      3</w:t>
            </w:r>
            <w:r>
              <w:rPr>
                <w:rFonts w:hAnsi="宋体"/>
                <w:kern w:val="0"/>
              </w:rPr>
              <w:t>、一次性项目</w:t>
            </w:r>
            <w:r>
              <w:rPr>
                <w:kern w:val="0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</w:rPr>
              <w:t>20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预算数（</w:t>
            </w:r>
            <w:r>
              <w:rPr>
                <w:kern w:val="0"/>
              </w:rPr>
              <w:t>A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执行数（</w:t>
            </w:r>
            <w:r>
              <w:rPr>
                <w:kern w:val="0"/>
              </w:rPr>
              <w:t>B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执行率（</w:t>
            </w:r>
            <w:r>
              <w:rPr>
                <w:kern w:val="0"/>
              </w:rPr>
              <w:t>B/A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</w:rPr>
              <w:t>20</w:t>
            </w:r>
            <w:r>
              <w:rPr>
                <w:rFonts w:hAnsi="宋体"/>
                <w:kern w:val="0"/>
              </w:rPr>
              <w:t>分</w:t>
            </w:r>
            <w:r>
              <w:rPr>
                <w:kern w:val="0"/>
              </w:rPr>
              <w:t>*</w:t>
            </w:r>
            <w:r>
              <w:rPr>
                <w:rFonts w:hAnsi="宋体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500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333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66.6%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13.32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  <w:sz w:val="20"/>
              </w:rPr>
              <w:t>80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年初目标值（</w:t>
            </w:r>
            <w:r>
              <w:rPr>
                <w:kern w:val="0"/>
              </w:rPr>
              <w:t>A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实际完成值（</w:t>
            </w:r>
            <w:r>
              <w:rPr>
                <w:kern w:val="0"/>
              </w:rPr>
              <w:t>B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rPr>
                <w:rFonts w:hint="eastAsia" w:hAnsi="宋体"/>
                <w:kern w:val="0"/>
              </w:rPr>
            </w:pPr>
          </w:p>
          <w:p>
            <w:pPr>
              <w:snapToGrid w:val="0"/>
              <w:rPr>
                <w:rFonts w:hint="eastAsia" w:hAnsi="宋体"/>
                <w:kern w:val="0"/>
              </w:rPr>
            </w:pPr>
            <w:r>
              <w:rPr>
                <w:rFonts w:hint="eastAsia" w:hAnsi="宋体"/>
                <w:kern w:val="0"/>
              </w:rPr>
              <w:t>成本指标</w:t>
            </w:r>
          </w:p>
          <w:p>
            <w:pPr>
              <w:snapToGrid w:val="0"/>
              <w:rPr>
                <w:rFonts w:hint="eastAsia" w:hAnsi="宋体"/>
                <w:kern w:val="0"/>
              </w:rPr>
            </w:pPr>
            <w:r>
              <w:rPr>
                <w:rFonts w:hint="eastAsia" w:hAnsi="宋体"/>
                <w:kern w:val="0"/>
              </w:rPr>
              <w:t>（20分）</w:t>
            </w:r>
          </w:p>
          <w:p>
            <w:pPr>
              <w:snapToGrid w:val="0"/>
              <w:rPr>
                <w:rFonts w:hint="eastAsia" w:hAnsi="宋体"/>
                <w:kern w:val="0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运维成本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硬件运维成本增加率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≤8%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hAnsi="宋体"/>
                <w:kern w:val="0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系统运维成本增加率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≤8%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产出指标</w:t>
            </w:r>
          </w:p>
          <w:p>
            <w:pPr>
              <w:snapToGrid w:val="0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rFonts w:hint="eastAsia"/>
                <w:kern w:val="0"/>
              </w:rPr>
              <w:t>2</w:t>
            </w:r>
            <w:r>
              <w:rPr>
                <w:kern w:val="0"/>
              </w:rPr>
              <w:t>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网络设备、计算机设备等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200台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日常维护系统平台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8个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正常运行并提高工作效率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≥95%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系统故障修复响应时间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≤2小时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系统运维响应时间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≤60分钟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rFonts w:hint="eastAsia"/>
                <w:kern w:val="0"/>
              </w:rPr>
              <w:t>30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政务服务社会影响力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有所提升　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影响指标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系统平台正常使用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　≥5年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rFonts w:hint="eastAsia"/>
                <w:kern w:val="0"/>
              </w:rPr>
              <w:t>10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业务系统应用科室</w:t>
            </w: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满意度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2"/>
                <w:lang w:val="en-US" w:eastAsia="zh-CN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按计划完成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93.32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kern w:val="0"/>
              </w:rPr>
            </w:pPr>
            <w:r>
              <w:rPr>
                <w:rFonts w:hAnsi="宋体"/>
                <w:kern w:val="0"/>
              </w:rPr>
              <w:t>签名：</w:t>
            </w:r>
            <w:r>
              <w:rPr>
                <w:kern w:val="0"/>
              </w:rPr>
              <w:t xml:space="preserve">               </w:t>
            </w:r>
          </w:p>
          <w:p>
            <w:pPr>
              <w:widowControl/>
              <w:ind w:firstLine="2100" w:firstLineChars="1000"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kern w:val="0"/>
              </w:rPr>
            </w:pPr>
            <w:r>
              <w:rPr>
                <w:rFonts w:hAnsi="宋体"/>
                <w:kern w:val="0"/>
              </w:rPr>
              <w:t>年</w:t>
            </w:r>
            <w:r>
              <w:rPr>
                <w:kern w:val="0"/>
              </w:rPr>
              <w:t xml:space="preserve">      </w:t>
            </w:r>
            <w:r>
              <w:rPr>
                <w:rFonts w:hAnsi="宋体"/>
                <w:kern w:val="0"/>
              </w:rPr>
              <w:t>月</w:t>
            </w:r>
            <w:r>
              <w:rPr>
                <w:kern w:val="0"/>
              </w:rPr>
              <w:t xml:space="preserve">      </w:t>
            </w:r>
            <w:r>
              <w:rPr>
                <w:rFonts w:hAnsi="宋体"/>
                <w:kern w:val="0"/>
              </w:rPr>
              <w:t>日</w:t>
            </w:r>
          </w:p>
          <w:p>
            <w:pPr>
              <w:widowControl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</w:p>
        </w:tc>
      </w:tr>
    </w:tbl>
    <w:p>
      <w:pPr>
        <w:widowControl/>
        <w:rPr>
          <w:kern w:val="0"/>
        </w:rPr>
      </w:pPr>
      <w:r>
        <w:rPr>
          <w:rFonts w:hAnsi="宋体"/>
          <w:kern w:val="0"/>
        </w:rPr>
        <w:t>备注：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1.</w:t>
      </w:r>
      <w:r>
        <w:rPr>
          <w:rFonts w:hAnsi="宋体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2.</w:t>
      </w:r>
      <w:r>
        <w:rPr>
          <w:rFonts w:hAnsi="宋体"/>
          <w:kern w:val="0"/>
        </w:rPr>
        <w:t>定量指标完成数汇总原则：绝对值直接累加计算，相对值按照资金额度加权平均计算。定量指标计分原则：正向指标（即目标值为</w:t>
      </w:r>
      <w:r>
        <w:rPr>
          <w:kern w:val="0"/>
        </w:rPr>
        <w:t>≥X,</w:t>
      </w:r>
      <w:r>
        <w:rPr>
          <w:rFonts w:hAnsi="宋体"/>
          <w:kern w:val="0"/>
        </w:rPr>
        <w:t>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*B/A</w:t>
      </w:r>
      <w:r>
        <w:rPr>
          <w:rFonts w:hAnsi="宋体"/>
          <w:kern w:val="0"/>
        </w:rPr>
        <w:t>），反向指标（即目标值为</w:t>
      </w:r>
      <w:r>
        <w:rPr>
          <w:kern w:val="0"/>
        </w:rPr>
        <w:t>≤X</w:t>
      </w:r>
      <w:r>
        <w:rPr>
          <w:rFonts w:hAnsi="宋体"/>
          <w:kern w:val="0"/>
        </w:rPr>
        <w:t>，得分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*A/B</w:t>
      </w:r>
      <w:r>
        <w:rPr>
          <w:rFonts w:hAnsi="宋体"/>
          <w:kern w:val="0"/>
        </w:rPr>
        <w:t>），得分不得突破权重总额。定量指标先汇总完成数，再计算得分。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3.</w:t>
      </w:r>
      <w:r>
        <w:rPr>
          <w:rFonts w:hAnsi="宋体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kern w:val="0"/>
        </w:rPr>
        <w:t>100-80%</w:t>
      </w:r>
      <w:r>
        <w:rPr>
          <w:rFonts w:hAnsi="宋体"/>
          <w:kern w:val="0"/>
        </w:rPr>
        <w:t>（含</w:t>
      </w:r>
      <w:r>
        <w:rPr>
          <w:kern w:val="0"/>
        </w:rPr>
        <w:t>80%</w:t>
      </w:r>
      <w:r>
        <w:rPr>
          <w:rFonts w:hAnsi="宋体"/>
          <w:kern w:val="0"/>
        </w:rPr>
        <w:t>）、</w:t>
      </w:r>
      <w:r>
        <w:rPr>
          <w:kern w:val="0"/>
        </w:rPr>
        <w:t>80-50%</w:t>
      </w:r>
      <w:r>
        <w:rPr>
          <w:rFonts w:hAnsi="宋体"/>
          <w:kern w:val="0"/>
        </w:rPr>
        <w:t>（含</w:t>
      </w:r>
      <w:r>
        <w:rPr>
          <w:kern w:val="0"/>
        </w:rPr>
        <w:t>50%</w:t>
      </w:r>
      <w:r>
        <w:rPr>
          <w:rFonts w:hAnsi="宋体"/>
          <w:kern w:val="0"/>
        </w:rPr>
        <w:t>）、</w:t>
      </w:r>
      <w:r>
        <w:rPr>
          <w:kern w:val="0"/>
        </w:rPr>
        <w:t>50-0%</w:t>
      </w:r>
      <w:r>
        <w:rPr>
          <w:rFonts w:hAnsi="宋体"/>
          <w:kern w:val="0"/>
        </w:rPr>
        <w:t>合理确定分值。汇总时，以资金额度为权重，对分值进行加权平均计算。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4.</w:t>
      </w:r>
      <w:r>
        <w:rPr>
          <w:rFonts w:hAnsi="宋体"/>
          <w:kern w:val="0"/>
        </w:rPr>
        <w:t>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Yzk5ZmI2NThiOTcwNTk4ZDlmYmQ1MzYzMTRmNTcifQ=="/>
  </w:docVars>
  <w:rsids>
    <w:rsidRoot w:val="7B4C0FBE"/>
    <w:rsid w:val="34D3789A"/>
    <w:rsid w:val="7B4C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2024-04-18T01:53:00Z</dcterms:created>
  <dc:creator>吞吞</dc:creator>
  <cp:lastModifiedBy>君肖肖_</cp:lastModifiedBy>
  <dcterms:modified xsi:type="dcterms:W3CDTF">2024-04-18T03:28:18Z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E5651DBA08F34680ACDF8380D0C16AE5_13</vt:lpwstr>
  </property>
</Properties>
</file>