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000000"/>
          <w:kern w:val="0"/>
          <w:sz w:val="36"/>
          <w:szCs w:val="36"/>
          <w:highlight w:val="none"/>
          <w:lang w:val="en-US" w:eastAsia="en-US"/>
        </w:rPr>
      </w:pPr>
      <w:r>
        <w:rPr>
          <w:rFonts w:hint="eastAsia" w:ascii="方正小标宋简体" w:hAnsi="方正小标宋简体" w:eastAsia="方正小标宋简体" w:cs="方正小标宋简体"/>
          <w:color w:val="000000"/>
          <w:kern w:val="0"/>
          <w:sz w:val="36"/>
          <w:szCs w:val="36"/>
          <w:highlight w:val="none"/>
          <w:lang w:val="en-US" w:eastAsia="en-US"/>
        </w:rPr>
        <w:t>武汉市东西湖区自然资源和规划局</w:t>
      </w:r>
    </w:p>
    <w:p>
      <w:pPr>
        <w:jc w:val="center"/>
        <w:rPr>
          <w:rFonts w:hint="eastAsia" w:ascii="方正小标宋简体" w:hAnsi="方正小标宋简体" w:eastAsia="方正小标宋简体" w:cs="方正小标宋简体"/>
          <w:color w:val="000000"/>
          <w:kern w:val="0"/>
          <w:sz w:val="36"/>
          <w:szCs w:val="36"/>
          <w:highlight w:val="none"/>
          <w:lang w:val="en-US" w:eastAsia="en-US"/>
        </w:rPr>
      </w:pPr>
      <w:r>
        <w:rPr>
          <w:rFonts w:hint="eastAsia" w:ascii="方正小标宋简体" w:hAnsi="方正小标宋简体" w:eastAsia="方正小标宋简体" w:cs="方正小标宋简体"/>
          <w:color w:val="000000"/>
          <w:kern w:val="0"/>
          <w:sz w:val="36"/>
          <w:szCs w:val="36"/>
          <w:highlight w:val="none"/>
          <w:lang w:val="en-US" w:eastAsia="zh-CN"/>
        </w:rPr>
        <w:t>2023年</w:t>
      </w:r>
      <w:r>
        <w:rPr>
          <w:rFonts w:hint="eastAsia" w:ascii="方正小标宋简体" w:hAnsi="方正小标宋简体" w:eastAsia="方正小标宋简体" w:cs="方正小标宋简体"/>
          <w:color w:val="000000"/>
          <w:kern w:val="0"/>
          <w:sz w:val="36"/>
          <w:szCs w:val="36"/>
          <w:highlight w:val="none"/>
          <w:lang w:val="en-US" w:eastAsia="en-US"/>
        </w:rPr>
        <w:t>整体绩效自评结果</w:t>
      </w:r>
    </w:p>
    <w:p>
      <w:pPr>
        <w:widowControl/>
        <w:spacing w:line="560" w:lineRule="exact"/>
        <w:jc w:val="center"/>
        <w:rPr>
          <w:rFonts w:ascii="楷体" w:hAnsi="楷体" w:eastAsia="楷体" w:cs="宋体"/>
          <w:color w:val="000000"/>
          <w:kern w:val="0"/>
          <w:sz w:val="28"/>
          <w:szCs w:val="28"/>
          <w:highlight w:val="none"/>
        </w:rPr>
      </w:pPr>
      <w:r>
        <w:rPr>
          <w:rFonts w:hint="eastAsia" w:ascii="楷体" w:hAnsi="楷体" w:eastAsia="楷体" w:cs="宋体"/>
          <w:color w:val="000000"/>
          <w:kern w:val="0"/>
          <w:sz w:val="28"/>
          <w:szCs w:val="28"/>
          <w:highlight w:val="none"/>
        </w:rPr>
        <w:t>（</w:t>
      </w:r>
      <w:r>
        <w:rPr>
          <w:rFonts w:hint="eastAsia" w:ascii="楷体" w:hAnsi="楷体" w:eastAsia="楷体" w:cs="宋体"/>
          <w:color w:val="000000"/>
          <w:kern w:val="0"/>
          <w:sz w:val="28"/>
          <w:szCs w:val="28"/>
          <w:highlight w:val="none"/>
          <w:lang w:val="en-US" w:eastAsia="zh-CN"/>
        </w:rPr>
        <w:t>摘要</w:t>
      </w:r>
      <w:r>
        <w:rPr>
          <w:rFonts w:hint="eastAsia" w:ascii="楷体" w:hAnsi="楷体" w:eastAsia="楷体" w:cs="宋体"/>
          <w:color w:val="000000"/>
          <w:kern w:val="0"/>
          <w:sz w:val="28"/>
          <w:szCs w:val="28"/>
          <w:highlight w:val="none"/>
        </w:rPr>
        <w:t>版）</w:t>
      </w:r>
    </w:p>
    <w:p>
      <w:pPr>
        <w:widowControl/>
        <w:spacing w:line="432" w:lineRule="atLeast"/>
        <w:jc w:val="center"/>
        <w:rPr>
          <w:rFonts w:ascii="宋体" w:hAnsi="宋体" w:cs="宋体"/>
          <w:color w:val="000000"/>
          <w:kern w:val="0"/>
          <w:sz w:val="24"/>
          <w:szCs w:val="24"/>
          <w:highlight w:val="none"/>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黑体" w:hAnsi="黑体" w:eastAsia="黑体" w:cs="黑体"/>
          <w:color w:val="000000"/>
          <w:spacing w:val="0"/>
          <w:w w:val="100"/>
          <w:kern w:val="0"/>
          <w:position w:val="0"/>
          <w:sz w:val="32"/>
          <w:szCs w:val="32"/>
          <w:highlight w:val="none"/>
          <w:lang w:eastAsia="zh-CN"/>
        </w:rPr>
      </w:pPr>
      <w:r>
        <w:rPr>
          <w:rFonts w:hint="eastAsia" w:ascii="黑体" w:hAnsi="黑体" w:eastAsia="黑体" w:cs="黑体"/>
          <w:color w:val="000000"/>
          <w:spacing w:val="0"/>
          <w:w w:val="100"/>
          <w:kern w:val="0"/>
          <w:position w:val="0"/>
          <w:sz w:val="32"/>
          <w:szCs w:val="32"/>
          <w:highlight w:val="none"/>
          <w:lang w:eastAsia="zh-CN"/>
        </w:rPr>
        <w:t>一、自评结论</w:t>
      </w:r>
    </w:p>
    <w:p>
      <w:pPr>
        <w:keepNext w:val="0"/>
        <w:keepLines w:val="0"/>
        <w:pageBreakBefore w:val="0"/>
        <w:widowControl/>
        <w:kinsoku/>
        <w:wordWrap/>
        <w:overflowPunct/>
        <w:topLinePunct w:val="0"/>
        <w:autoSpaceDE/>
        <w:autoSpaceDN/>
        <w:bidi w:val="0"/>
        <w:adjustRightInd/>
        <w:snapToGrid/>
        <w:spacing w:line="240" w:lineRule="auto"/>
        <w:ind w:left="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（一）部门整体绩效自评得分</w:t>
      </w:r>
    </w:p>
    <w:p>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2023年度</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武汉市东西湖区自然资源和规划局</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整体绩效评价自评综合得分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90.77</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分，其中：预算执行率基准分值20分，得分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11.17</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产出指标、</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效益指标和满意度指标基准分值</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8</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0分，得</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分79.6</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p>
    <w:p>
      <w:pPr>
        <w:keepNext w:val="0"/>
        <w:keepLines w:val="0"/>
        <w:pageBreakBefore w:val="0"/>
        <w:widowControl/>
        <w:kinsoku/>
        <w:wordWrap/>
        <w:overflowPunct/>
        <w:topLinePunct w:val="0"/>
        <w:autoSpaceDE/>
        <w:autoSpaceDN/>
        <w:bidi w:val="0"/>
        <w:adjustRightInd/>
        <w:snapToGrid/>
        <w:spacing w:line="240" w:lineRule="auto"/>
        <w:ind w:left="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（二）部门整体绩效目标完成情况</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1.预算执行情况</w:t>
      </w:r>
    </w:p>
    <w:p>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bookmarkStart w:id="0" w:name="_Toc21184818"/>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2023年度武汉市东西湖区自然资源和规划局整体调整后预算总额为19,209.36万元，</w:t>
      </w:r>
      <w:bookmarkEnd w:id="0"/>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决算支出总额10,725.24万元。</w:t>
      </w:r>
    </w:p>
    <w:p>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预算执行率=（决算支出总额/调整后预算总额）×100%=55.83%。</w:t>
      </w:r>
    </w:p>
    <w:p>
      <w:pPr>
        <w:keepNext w:val="0"/>
        <w:keepLines w:val="0"/>
        <w:pageBreakBefore w:val="0"/>
        <w:widowControl/>
        <w:kinsoku/>
        <w:wordWrap/>
        <w:overflowPunct/>
        <w:topLinePunct w:val="0"/>
        <w:autoSpaceDE/>
        <w:autoSpaceDN/>
        <w:bidi w:val="0"/>
        <w:adjustRightInd/>
        <w:snapToGrid/>
        <w:spacing w:line="240" w:lineRule="auto"/>
        <w:ind w:left="0" w:firstLine="640" w:firstLineChars="200"/>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2.完成的绩效目标</w:t>
      </w:r>
    </w:p>
    <w:tbl>
      <w:tblPr>
        <w:tblStyle w:val="10"/>
        <w:tblW w:w="506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9"/>
        <w:gridCol w:w="1287"/>
        <w:gridCol w:w="1080"/>
        <w:gridCol w:w="1695"/>
        <w:gridCol w:w="1325"/>
        <w:gridCol w:w="1374"/>
        <w:gridCol w:w="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39" w:hRule="atLeast"/>
          <w:tblHeader/>
          <w:jc w:val="center"/>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目标</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一级指标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二级指标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三级指标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年初目标值（A）</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实际完成值（B）</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年度绩效目标1</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数量指标（2分）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新增建设用地规模控制率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报件合格率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新增建设用地报件上报及时率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满意度指标（2分）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新增建设用地申报主体满意度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年度绩效目标2（15分）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完成技术报告</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≥3篇</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3篇　</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报告合格率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时效指标（3分）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报告完成及时率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社会效益指标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地价结果客观、真实，结果可应用</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满意度指标（3分）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社会公众满意度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6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图斑核查率</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永久基本农田工作完成率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图斑核实准确率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报告出具及时率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年度绩效目标4（19分）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（16分）</w:t>
            </w:r>
          </w:p>
        </w:tc>
        <w:tc>
          <w:tcPr>
            <w:tcW w:w="6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数量指标（8分）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完成</w:t>
            </w:r>
            <w:r>
              <w:rPr>
                <w:rStyle w:val="30"/>
                <w:highlight w:val="none"/>
                <w:lang w:val="en-US" w:eastAsia="zh-CN" w:bidi="ar"/>
              </w:rPr>
              <w:t>森林资源“一张图”更新工作（2分）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1套</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1套</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对市级公益林进行管护（2分）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森林火灾受灾面积（2分）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≤林地面积的0.3%</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≤林地面积的0.3%</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林长制巡林次数</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区级每季度一次；街道每月一次；村(社区)每周一次</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区级每季度一次；街道每月一次；村(社区)每周一次</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病虫害防治率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时效指标（2分）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按照工作时限完成资源调查类工作</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按时完成</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按时完成</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生态效益指标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全区森林覆盖率（2分）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较去年上升0.02%</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较去年上升0.02%</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全区森林蓄积量（2分）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较去年上升1.5%</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较去年上升1.5%</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满意度指标（3分）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公益林管护工作群众满意度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年度绩效目标5（14分）</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不动产登记服务进社区</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每月一次</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每月一次</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投诉处理率</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社会效益指标</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提升政务服务水平</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前列</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前列</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满意度指标（3分）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办事企业群众满意度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达标</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达标</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年度绩效目标6（16分）</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产出指标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质量指标（4分）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土地储备监管系统入库数据准确性</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效益指标</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社会效益（4分）</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提高群众防灾减灾意识</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95%</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95%</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highlight w:val="none"/>
                <w:u w:val="none"/>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满意度指标（4分）</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服务对象满意度</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规划咨询服务满意度</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7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≥90%</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bl>
    <w:p>
      <w:pPr>
        <w:pStyle w:val="21"/>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640" w:firstLineChars="200"/>
        <w:jc w:val="both"/>
        <w:textAlignment w:val="auto"/>
        <w:rPr>
          <w:rFonts w:hint="eastAsia" w:ascii="楷体" w:hAnsi="楷体" w:eastAsia="楷体" w:cs="楷体"/>
          <w:b w:val="0"/>
          <w:bCs w:val="0"/>
          <w:color w:val="000000"/>
          <w:spacing w:val="0"/>
          <w:w w:val="100"/>
          <w:position w:val="0"/>
          <w:sz w:val="32"/>
          <w:szCs w:val="32"/>
          <w:highlight w:val="none"/>
          <w:lang w:val="en-US" w:eastAsia="zh-CN"/>
        </w:rPr>
      </w:pPr>
      <w:r>
        <w:rPr>
          <w:rFonts w:hint="eastAsia" w:ascii="楷体" w:hAnsi="楷体" w:eastAsia="楷体" w:cs="楷体"/>
          <w:b w:val="0"/>
          <w:bCs w:val="0"/>
          <w:color w:val="000000"/>
          <w:spacing w:val="0"/>
          <w:w w:val="100"/>
          <w:position w:val="0"/>
          <w:sz w:val="32"/>
          <w:szCs w:val="32"/>
          <w:highlight w:val="none"/>
          <w:lang w:val="en-US" w:eastAsia="zh-CN"/>
        </w:rPr>
        <w:t>3.未完成的绩效目标</w:t>
      </w:r>
    </w:p>
    <w:tbl>
      <w:tblPr>
        <w:tblStyle w:val="10"/>
        <w:tblW w:w="8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092"/>
        <w:gridCol w:w="1083"/>
        <w:gridCol w:w="1680"/>
        <w:gridCol w:w="1335"/>
        <w:gridCol w:w="139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rPr>
              <w:t>目标</w:t>
            </w:r>
          </w:p>
        </w:tc>
        <w:tc>
          <w:tcPr>
            <w:tcW w:w="1092"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一级指标</w:t>
            </w:r>
          </w:p>
        </w:tc>
        <w:tc>
          <w:tcPr>
            <w:tcW w:w="1083"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二级指标</w:t>
            </w:r>
          </w:p>
        </w:tc>
        <w:tc>
          <w:tcPr>
            <w:tcW w:w="1680"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三级指标</w:t>
            </w:r>
          </w:p>
        </w:tc>
        <w:tc>
          <w:tcPr>
            <w:tcW w:w="1335"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年初目标值（A）</w:t>
            </w:r>
          </w:p>
        </w:tc>
        <w:tc>
          <w:tcPr>
            <w:tcW w:w="1395"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实际完成值（B）</w:t>
            </w:r>
          </w:p>
        </w:tc>
        <w:tc>
          <w:tcPr>
            <w:tcW w:w="885" w:type="dxa"/>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rPr>
                <w:rFonts w:hint="eastAsia" w:ascii="仿宋" w:hAnsi="仿宋" w:eastAsia="仿宋" w:cs="Times New Roman"/>
                <w:b/>
                <w:bCs/>
                <w:color w:val="000000"/>
                <w:kern w:val="0"/>
                <w:sz w:val="21"/>
                <w:szCs w:val="21"/>
                <w:highlight w:val="none"/>
                <w:lang w:val="en-US" w:eastAsia="zh-CN" w:bidi="ar-SA"/>
              </w:rPr>
            </w:pPr>
            <w:r>
              <w:rPr>
                <w:rFonts w:hint="eastAsia" w:ascii="仿宋" w:hAnsi="仿宋" w:eastAsia="仿宋"/>
                <w:b/>
                <w:bCs/>
                <w:color w:val="000000"/>
                <w:kern w:val="0"/>
                <w:szCs w:val="21"/>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年度绩效目标6</w:t>
            </w:r>
          </w:p>
        </w:tc>
        <w:tc>
          <w:tcPr>
            <w:tcW w:w="10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产出指标</w:t>
            </w:r>
          </w:p>
        </w:tc>
        <w:tc>
          <w:tcPr>
            <w:tcW w:w="108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数量指标（4分）</w:t>
            </w:r>
          </w:p>
        </w:tc>
        <w:tc>
          <w:tcPr>
            <w:tcW w:w="168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规划编制项目个数</w:t>
            </w:r>
          </w:p>
        </w:tc>
        <w:tc>
          <w:tcPr>
            <w:tcW w:w="133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20个</w:t>
            </w:r>
          </w:p>
        </w:tc>
        <w:tc>
          <w:tcPr>
            <w:tcW w:w="139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18个</w:t>
            </w:r>
          </w:p>
        </w:tc>
        <w:tc>
          <w:tcPr>
            <w:tcW w:w="88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3.6</w:t>
            </w:r>
          </w:p>
        </w:tc>
      </w:tr>
    </w:tbl>
    <w:p>
      <w:pPr>
        <w:pStyle w:val="21"/>
        <w:keepNext w:val="0"/>
        <w:keepLines w:val="0"/>
        <w:pageBreakBefore w:val="0"/>
        <w:widowControl w:val="0"/>
        <w:shd w:val="clear" w:color="auto" w:fill="auto"/>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楷体" w:hAnsi="楷体" w:eastAsia="楷体" w:cs="楷体"/>
          <w:b w:val="0"/>
          <w:bCs w:val="0"/>
          <w:color w:val="000000"/>
          <w:spacing w:val="0"/>
          <w:w w:val="100"/>
          <w:kern w:val="0"/>
          <w:position w:val="0"/>
          <w:sz w:val="32"/>
          <w:szCs w:val="32"/>
          <w:highlight w:val="none"/>
          <w:lang w:val="en-US" w:eastAsia="zh-CN"/>
        </w:rPr>
      </w:pPr>
      <w:r>
        <w:rPr>
          <w:rFonts w:hint="eastAsia" w:ascii="楷体" w:hAnsi="楷体" w:eastAsia="楷体" w:cs="楷体"/>
          <w:b w:val="0"/>
          <w:bCs w:val="0"/>
          <w:color w:val="000000"/>
          <w:spacing w:val="0"/>
          <w:w w:val="100"/>
          <w:position w:val="0"/>
          <w:sz w:val="32"/>
          <w:szCs w:val="32"/>
          <w:highlight w:val="none"/>
          <w:lang w:eastAsia="zh-CN"/>
        </w:rPr>
        <w:t>（</w:t>
      </w:r>
      <w:r>
        <w:rPr>
          <w:rFonts w:hint="eastAsia" w:ascii="楷体" w:hAnsi="楷体" w:eastAsia="楷体" w:cs="楷体"/>
          <w:b w:val="0"/>
          <w:bCs w:val="0"/>
          <w:color w:val="000000"/>
          <w:spacing w:val="0"/>
          <w:w w:val="100"/>
          <w:position w:val="0"/>
          <w:sz w:val="32"/>
          <w:szCs w:val="32"/>
          <w:highlight w:val="none"/>
          <w:lang w:val="en-US" w:eastAsia="zh-CN"/>
        </w:rPr>
        <w:t>三）</w:t>
      </w:r>
      <w:r>
        <w:rPr>
          <w:rFonts w:hint="eastAsia" w:ascii="楷体" w:hAnsi="楷体" w:eastAsia="楷体" w:cs="楷体"/>
          <w:b w:val="0"/>
          <w:bCs w:val="0"/>
          <w:color w:val="000000"/>
          <w:spacing w:val="0"/>
          <w:w w:val="100"/>
          <w:kern w:val="0"/>
          <w:position w:val="0"/>
          <w:sz w:val="32"/>
          <w:szCs w:val="32"/>
          <w:highlight w:val="none"/>
          <w:lang w:val="en-US" w:eastAsia="zh-CN"/>
        </w:rPr>
        <w:t>存在的问题和原因</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1.本年度预算执行率偏低，主要是以下几方面原因：</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征地和拆迁补偿支出</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项目</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年初预算7</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000</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万元，实际执行4</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041.</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4</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1万元，项目执行率57.7</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%，项目执行率较低的原因</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一是2023年实际支出与土地收储面积息息相关，受各方面原因影响本年度农用地转用率低于其他年度；二是2023年市场经济不景气，土地成交量未达到预期，导致土地策划费用398.42万元与其预算金额1,500.00万元差额较大；三是因财政资金紧张导致综合村片城市规划设计费236.00万元、印花税110.63万元未支付。</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（2）</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规划编制经费年初预算3</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800</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万元，实际执行1</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701.75万元，项目执行率44.78%，项目执行率较低的原因</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一是因财政资金紧张</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东西湖区交通市政基础设施年度评估报告、东西湖区管线综合专项规划及东西湖区2023年度城建基础设施实施规划等三个项目预算金额共计950.00万元，因无启动资金而未开展，2021-2023年度城乡规划编制与研究论证技术服务项目110.00万元未能支付；二是因工作安排变化，部分预算项目减少导致预算支出减少，如控规性详细规划编制项目预算金额300.00万元，拟启动海峡片、李家墩片控规优化工作，后根据区领导工作安排，李家墩片控规优化工作暂无需开展，仅启动预算资金76万元的海峡片控规项目，该项目2023年支出53.20万元；三是法定规划编制报批受外部流程影响进度，导致本年预算支出减少，如网安二期控制性详细规划预算资金175.00万元、海峡片区控制性详细规划预算资金76.00万元，上述项目报批工作需报省级部门或市级部门审查审批，报审流程超出预期，导致网安二期控制性详细规划48.00万元及海峡片区控制性详细规划22.80万元未按进度完成预算执行。</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（3）2023年度测绘工作项目预算金额为1,010.00万元，实际项目支出456.87万元,预算执行率为45.23%</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，项目执行率较低的原因</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为2023年度预算项目均已完成并通过验收，但因财政资金紧张预算资金未能落实到位，零散测量项目113.93万元、基础测绘项目一包中自然资源监测和真彩色航空影像获取项目159.20万元、基础测绘项目二包中1:2000地形图更新和建筑信息与地下空间调查项目144.00万元及规划条件复核费105.00万元、土地执法勘测费3.30万元，共计525.43万元应付项目资金未能支付。</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（4）</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土地利用综合管理工作经费年初预算200</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万元，实际执行8.95万元，项目执行率4.4</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8</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%，项目执行率较低的原因</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一是因财政资金紧张，</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2022年东西湖区城镇建设用地标定地价更新</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项目44.10万元、</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基准地价更新</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项目89.60万元未能</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支付</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；二是</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土地集约利用更新评价工作监测统计成果上报审核</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程序未完结</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导致25.60万元预算资金</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暂未支付</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；三是</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土地利用相关业务</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的</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诉讼费及仲裁费2023年度预算为39.3</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，实际支付相关费用8.95万元，该预算项目费用结算</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需根据案件情况计算，</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具有较大不确定性，影响了预算执行</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（5）</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档案信息化建设经费年初预算500</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万元，实际执行333</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万元，项目执行率66.6</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0</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%，项目执行率较低的原因</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为</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因财政资金紧张86.32万元</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费用</w:t>
      </w:r>
      <w:r>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t>未能支付。</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000000"/>
          <w:sz w:val="32"/>
          <w:szCs w:val="32"/>
          <w:highlight w:val="none"/>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2.</w:t>
      </w:r>
      <w:r>
        <w:rPr>
          <w:rFonts w:hint="eastAsia" w:ascii="仿宋" w:hAnsi="仿宋" w:eastAsia="仿宋" w:cs="仿宋"/>
          <w:color w:val="000000"/>
          <w:sz w:val="32"/>
          <w:szCs w:val="32"/>
          <w:highlight w:val="none"/>
          <w:lang w:val="en-US" w:eastAsia="zh-CN" w:bidi="zh-TW"/>
        </w:rPr>
        <w:t>预算安排不够科学、全面，未全面考虑前期未完项目尾款、上年度因财政资金紧张应付未付项目款的预算安排。</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w:t>
      </w:r>
      <w:r>
        <w:rPr>
          <w:rFonts w:hint="eastAsia" w:ascii="仿宋" w:hAnsi="仿宋" w:eastAsia="仿宋" w:cs="仿宋"/>
          <w:color w:val="auto"/>
          <w:spacing w:val="0"/>
          <w:w w:val="100"/>
          <w:kern w:val="0"/>
          <w:position w:val="0"/>
          <w:sz w:val="32"/>
          <w:szCs w:val="32"/>
          <w:highlight w:val="none"/>
          <w:u w:val="none"/>
          <w:shd w:val="clear" w:color="auto" w:fill="auto"/>
          <w:lang w:val="zh-TW" w:eastAsia="zh-CN" w:bidi="zh-TW"/>
        </w:rPr>
        <w:t>部分绩效</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指标</w:t>
      </w:r>
      <w:r>
        <w:rPr>
          <w:rFonts w:hint="eastAsia" w:ascii="仿宋" w:hAnsi="仿宋" w:eastAsia="仿宋" w:cs="仿宋"/>
          <w:color w:val="auto"/>
          <w:spacing w:val="0"/>
          <w:w w:val="100"/>
          <w:kern w:val="0"/>
          <w:position w:val="0"/>
          <w:sz w:val="32"/>
          <w:szCs w:val="32"/>
          <w:highlight w:val="none"/>
          <w:u w:val="none"/>
          <w:shd w:val="clear" w:color="auto" w:fill="auto"/>
          <w:lang w:val="zh-TW" w:eastAsia="zh-CN" w:bidi="zh-TW"/>
        </w:rPr>
        <w:t>设置不合理，例如</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年度绩效目标2绩效申报表时效指标报告完成及时率目标值为12月底前（可以将目标值改为100%，或者将指标设为“报告完成截止时间”）。</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b w:val="0"/>
          <w:bCs w:val="0"/>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b w:val="0"/>
          <w:bCs w:val="0"/>
          <w:color w:val="000000"/>
          <w:spacing w:val="0"/>
          <w:w w:val="100"/>
          <w:kern w:val="0"/>
          <w:position w:val="0"/>
          <w:sz w:val="32"/>
          <w:szCs w:val="32"/>
          <w:highlight w:val="none"/>
          <w:u w:val="none"/>
          <w:shd w:val="clear" w:color="auto" w:fill="auto"/>
          <w:lang w:val="en-US" w:eastAsia="zh-CN" w:bidi="zh-TW"/>
        </w:rPr>
        <w:t>（四）下一步拟改进措施</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w:t>
      </w:r>
      <w:r>
        <w:rPr>
          <w:rFonts w:hint="eastAsia" w:ascii="仿宋" w:hAnsi="仿宋" w:eastAsia="仿宋" w:cs="仿宋"/>
          <w:sz w:val="32"/>
          <w:szCs w:val="32"/>
          <w:highlight w:val="none"/>
          <w:lang w:val="zh-TW" w:eastAsia="zh-CN"/>
        </w:rPr>
        <w:t>年度预算执行中，根据实际情况，</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及时了解预算执行差异，</w:t>
      </w:r>
      <w:r>
        <w:rPr>
          <w:rFonts w:hint="eastAsia" w:ascii="仿宋" w:hAnsi="仿宋" w:eastAsia="仿宋" w:cs="仿宋"/>
          <w:sz w:val="32"/>
          <w:szCs w:val="32"/>
          <w:highlight w:val="none"/>
          <w:lang w:val="zh-TW" w:eastAsia="zh-CN"/>
        </w:rPr>
        <w:t>定期做好预算执行分析，掌握预算执行进度，</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合理调整、纠正预算执行偏差，切实提高部门预算收支管理水平。</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kern w:val="2"/>
          <w:sz w:val="32"/>
          <w:szCs w:val="32"/>
          <w:highlight w:val="none"/>
          <w:u w:val="none"/>
          <w:shd w:val="clear" w:color="auto" w:fill="auto"/>
          <w:lang w:val="en-US" w:eastAsia="zh-CN" w:bidi="zh-TW"/>
        </w:rPr>
      </w:pPr>
      <w:r>
        <w:rPr>
          <w:rFonts w:hint="eastAsia" w:ascii="仿宋" w:hAnsi="仿宋" w:eastAsia="仿宋" w:cs="仿宋"/>
          <w:kern w:val="2"/>
          <w:sz w:val="32"/>
          <w:szCs w:val="32"/>
          <w:highlight w:val="none"/>
          <w:u w:val="none"/>
          <w:shd w:val="clear" w:color="auto" w:fill="auto"/>
          <w:lang w:val="en-US" w:eastAsia="zh-CN" w:bidi="zh-TW"/>
        </w:rPr>
        <w:t>2.科学编制预算资金，编制预算时多方位考虑测算依据，提高预算编制准确性。</w:t>
      </w:r>
      <w:r>
        <w:rPr>
          <w:rFonts w:hint="eastAsia" w:ascii="仿宋" w:hAnsi="仿宋" w:eastAsia="仿宋" w:cs="仿宋"/>
          <w:color w:val="000000"/>
          <w:spacing w:val="0"/>
          <w:w w:val="100"/>
          <w:position w:val="0"/>
          <w:sz w:val="32"/>
          <w:szCs w:val="32"/>
          <w:highlight w:val="none"/>
          <w:u w:val="none"/>
          <w:shd w:val="clear" w:color="auto" w:fill="auto"/>
          <w:lang w:val="en-US" w:eastAsia="zh-CN" w:bidi="zh-TW"/>
        </w:rPr>
        <w:t>及时多方位了解影响土地收储相关的信息以及市场经济形势，合理预测经济形势对土地交易的影响。</w:t>
      </w:r>
      <w:r>
        <w:rPr>
          <w:rFonts w:hint="eastAsia" w:ascii="仿宋" w:hAnsi="仿宋" w:eastAsia="仿宋" w:cs="仿宋"/>
          <w:kern w:val="2"/>
          <w:sz w:val="32"/>
          <w:szCs w:val="32"/>
          <w:highlight w:val="none"/>
          <w:u w:val="none"/>
          <w:shd w:val="clear" w:color="auto" w:fill="auto"/>
          <w:lang w:val="en-US" w:eastAsia="zh-CN" w:bidi="zh-TW"/>
        </w:rPr>
        <w:t>加强与上级部门、业务关联部门的沟通，尽可能及时掌握政策、项目工作安排变化，</w:t>
      </w:r>
      <w:r>
        <w:rPr>
          <w:rFonts w:hint="eastAsia" w:ascii="仿宋" w:hAnsi="仿宋" w:eastAsia="仿宋" w:cs="仿宋"/>
          <w:color w:val="000000"/>
          <w:sz w:val="32"/>
          <w:szCs w:val="32"/>
          <w:highlight w:val="none"/>
          <w:lang w:val="en-US" w:eastAsia="zh-CN" w:bidi="zh-TW"/>
        </w:rPr>
        <w:t>以便预算安排时考虑前期未完结项目、政策或工作安排变化的影响，更合理、全面的安排预算。</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kern w:val="2"/>
          <w:sz w:val="32"/>
          <w:szCs w:val="32"/>
          <w:highlight w:val="none"/>
          <w:u w:val="none"/>
          <w:shd w:val="clear" w:color="auto" w:fill="auto"/>
          <w:lang w:val="en-US" w:eastAsia="zh-CN" w:bidi="zh-TW"/>
        </w:rPr>
      </w:pPr>
      <w:r>
        <w:rPr>
          <w:rFonts w:hint="eastAsia" w:ascii="仿宋" w:hAnsi="仿宋" w:eastAsia="仿宋" w:cs="仿宋"/>
          <w:kern w:val="2"/>
          <w:sz w:val="32"/>
          <w:szCs w:val="32"/>
          <w:highlight w:val="none"/>
          <w:u w:val="none"/>
          <w:shd w:val="clear" w:color="auto" w:fill="auto"/>
          <w:lang w:val="en-US" w:eastAsia="zh-CN" w:bidi="zh-TW"/>
        </w:rPr>
        <w:t>3.进一步优化和改善指标体系，更科学、全面的制定并细化绩效指标目标值。</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附件：2023年度武汉市东西湖区自然资源和规划局部门整体绩效自评表</w:t>
      </w:r>
    </w:p>
    <w:p>
      <w:pPr>
        <w:pStyle w:val="2"/>
        <w:rPr>
          <w:rFonts w:hint="eastAsia"/>
          <w:lang w:val="en-US" w:eastAsia="zh-CN"/>
        </w:rPr>
      </w:pPr>
      <w:bookmarkStart w:id="1" w:name="_GoBack"/>
      <w:bookmarkEnd w:id="1"/>
    </w:p>
    <w:p>
      <w:pPr>
        <w:keepNext w:val="0"/>
        <w:keepLines w:val="0"/>
        <w:pageBreakBefore w:val="0"/>
        <w:numPr>
          <w:ilvl w:val="0"/>
          <w:numId w:val="0"/>
        </w:numPr>
        <w:kinsoku/>
        <w:wordWrap/>
        <w:overflowPunct/>
        <w:topLinePunct w:val="0"/>
        <w:autoSpaceDE/>
        <w:autoSpaceDN/>
        <w:bidi w:val="0"/>
        <w:adjustRightInd/>
        <w:snapToGrid/>
        <w:spacing w:line="240" w:lineRule="auto"/>
        <w:ind w:left="0" w:firstLine="560" w:firstLineChars="200"/>
        <w:jc w:val="left"/>
        <w:rPr>
          <w:rFonts w:hint="eastAsia" w:ascii="宋体" w:hAnsi="宋体" w:cs="宋体"/>
          <w:i w:val="0"/>
          <w:iCs w:val="0"/>
          <w:color w:val="auto"/>
          <w:sz w:val="28"/>
          <w:szCs w:val="28"/>
          <w:highlight w:val="none"/>
          <w:lang w:val="en-US" w:eastAsia="zh-CN"/>
        </w:rPr>
      </w:pPr>
    </w:p>
    <w:p>
      <w:pPr>
        <w:pStyle w:val="2"/>
        <w:rPr>
          <w:rFonts w:hint="eastAsia"/>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0" w:firstLine="640" w:firstLineChars="200"/>
        <w:jc w:val="righ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武汉市东西湖区自然资源和规划局</w:t>
      </w:r>
    </w:p>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640" w:firstLineChars="200"/>
        <w:jc w:val="righ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 xml:space="preserve">                           2024年4月28日</w:t>
      </w:r>
    </w:p>
    <w:p>
      <w:pPr>
        <w:keepNext w:val="0"/>
        <w:keepLines w:val="0"/>
        <w:pageBreakBefore w:val="0"/>
        <w:kinsoku/>
        <w:wordWrap/>
        <w:overflowPunct/>
        <w:topLinePunct w:val="0"/>
        <w:autoSpaceDE/>
        <w:autoSpaceDN/>
        <w:bidi w:val="0"/>
        <w:adjustRightInd/>
        <w:snapToGrid/>
        <w:spacing w:line="240" w:lineRule="auto"/>
        <w:ind w:left="0" w:firstLine="640" w:firstLineChars="200"/>
        <w:rPr>
          <w:rFonts w:ascii="仿宋" w:hAnsi="仿宋" w:eastAsia="仿宋" w:cs="宋体"/>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firstLine="640" w:firstLineChars="200"/>
        <w:rPr>
          <w:rFonts w:ascii="仿宋" w:hAnsi="仿宋" w:eastAsia="仿宋" w:cs="宋体"/>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firstLine="640" w:firstLineChars="200"/>
        <w:rPr>
          <w:rFonts w:ascii="仿宋" w:hAnsi="仿宋" w:eastAsia="仿宋" w:cs="宋体"/>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firstLine="640" w:firstLineChars="200"/>
        <w:rPr>
          <w:rFonts w:ascii="仿宋" w:hAnsi="仿宋" w:eastAsia="仿宋" w:cs="宋体"/>
          <w:sz w:val="32"/>
          <w:szCs w:val="32"/>
          <w:highlight w:val="none"/>
        </w:rPr>
      </w:pP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w:t>
    </w:r>
    <w:r>
      <w:fldChar w:fldCharType="begin"/>
    </w:r>
    <w:r>
      <w:instrText xml:space="preserve">PAGE   \* MERGEFORMAT</w:instrText>
    </w:r>
    <w:r>
      <w:fldChar w:fldCharType="separate"/>
    </w:r>
    <w:r>
      <w:rPr>
        <w:lang w:val="zh-CN"/>
      </w:rPr>
      <w:t>17</w:t>
    </w:r>
    <w:r>
      <w:fldChar w:fldCharType="end"/>
    </w:r>
    <w:r>
      <w:rPr>
        <w:rFonts w:hint="eastAsia"/>
      </w:rPr>
      <w:t>-</w: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Yzk5ZmI2NThiOTcwNTk4ZDlmYmQ1MzYzMTRmNTcifQ=="/>
  </w:docVars>
  <w:rsids>
    <w:rsidRoot w:val="00000000"/>
    <w:rsid w:val="02611A2B"/>
    <w:rsid w:val="05631AA7"/>
    <w:rsid w:val="07F91461"/>
    <w:rsid w:val="096F0390"/>
    <w:rsid w:val="0A2C74B1"/>
    <w:rsid w:val="126E2D9F"/>
    <w:rsid w:val="13C275D1"/>
    <w:rsid w:val="16746137"/>
    <w:rsid w:val="18473456"/>
    <w:rsid w:val="184C2265"/>
    <w:rsid w:val="1FA679E0"/>
    <w:rsid w:val="26747E2C"/>
    <w:rsid w:val="3088691E"/>
    <w:rsid w:val="3171779B"/>
    <w:rsid w:val="35204D3A"/>
    <w:rsid w:val="373A6104"/>
    <w:rsid w:val="38420616"/>
    <w:rsid w:val="3C3B065F"/>
    <w:rsid w:val="3E753E87"/>
    <w:rsid w:val="41907110"/>
    <w:rsid w:val="41BA764A"/>
    <w:rsid w:val="43247792"/>
    <w:rsid w:val="43C20D21"/>
    <w:rsid w:val="44710E45"/>
    <w:rsid w:val="47C426D3"/>
    <w:rsid w:val="4B1B6552"/>
    <w:rsid w:val="4BFB68A3"/>
    <w:rsid w:val="53F6571D"/>
    <w:rsid w:val="57BE4FF4"/>
    <w:rsid w:val="5A002A23"/>
    <w:rsid w:val="5CDE618A"/>
    <w:rsid w:val="5EBC7A30"/>
    <w:rsid w:val="649C44F9"/>
    <w:rsid w:val="6CEF3F82"/>
    <w:rsid w:val="73DF702B"/>
    <w:rsid w:val="764C1885"/>
    <w:rsid w:val="7A706B03"/>
    <w:rsid w:val="7B8F594D"/>
    <w:rsid w:val="7F252E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0"/>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widowControl w:val="0"/>
      <w:spacing w:before="0" w:after="120"/>
      <w:ind w:left="420" w:leftChars="200" w:right="0" w:firstLine="420" w:firstLineChars="200"/>
      <w:jc w:val="both"/>
    </w:pPr>
    <w:rPr>
      <w:rFonts w:ascii="Calibri" w:hAnsi="Calibri" w:eastAsia="宋体" w:cs="Times New Roman"/>
      <w:kern w:val="2"/>
      <w:sz w:val="21"/>
      <w:szCs w:val="24"/>
      <w:lang w:val="en-US" w:eastAsia="zh-CN" w:bidi="ar-SA"/>
    </w:rPr>
  </w:style>
  <w:style w:type="paragraph" w:styleId="3">
    <w:name w:val="Body Text Indent"/>
    <w:basedOn w:val="1"/>
    <w:autoRedefine/>
    <w:qFormat/>
    <w:uiPriority w:val="0"/>
    <w:pPr>
      <w:widowControl w:val="0"/>
      <w:spacing w:before="0" w:after="120"/>
      <w:ind w:left="420" w:leftChars="200" w:right="0"/>
      <w:jc w:val="both"/>
    </w:pPr>
    <w:rPr>
      <w:rFonts w:ascii="Calibri" w:hAnsi="Calibri" w:eastAsia="宋体" w:cs="Times New Roman"/>
      <w:kern w:val="2"/>
      <w:sz w:val="21"/>
      <w:szCs w:val="24"/>
      <w:lang w:val="en-US" w:eastAsia="zh-CN" w:bidi="ar-SA"/>
    </w:rPr>
  </w:style>
  <w:style w:type="paragraph" w:styleId="5">
    <w:name w:val="Document Map"/>
    <w:basedOn w:val="1"/>
    <w:link w:val="22"/>
    <w:autoRedefine/>
    <w:semiHidden/>
    <w:unhideWhenUsed/>
    <w:qFormat/>
    <w:uiPriority w:val="99"/>
    <w:rPr>
      <w:rFonts w:ascii="宋体"/>
      <w:sz w:val="18"/>
      <w:szCs w:val="18"/>
    </w:rPr>
  </w:style>
  <w:style w:type="paragraph" w:styleId="6">
    <w:name w:val="Balloon Text"/>
    <w:basedOn w:val="1"/>
    <w:link w:val="28"/>
    <w:autoRedefine/>
    <w:semiHidden/>
    <w:unhideWhenUsed/>
    <w:qFormat/>
    <w:uiPriority w:val="99"/>
    <w:rPr>
      <w:sz w:val="18"/>
      <w:szCs w:val="18"/>
    </w:rPr>
  </w:style>
  <w:style w:type="paragraph" w:styleId="7">
    <w:name w:val="footer"/>
    <w:basedOn w:val="1"/>
    <w:link w:val="26"/>
    <w:autoRedefine/>
    <w:unhideWhenUsed/>
    <w:qFormat/>
    <w:uiPriority w:val="99"/>
    <w:pPr>
      <w:tabs>
        <w:tab w:val="center" w:pos="4153"/>
        <w:tab w:val="right" w:pos="8306"/>
      </w:tabs>
      <w:snapToGrid w:val="0"/>
      <w:jc w:val="left"/>
    </w:pPr>
    <w:rPr>
      <w:sz w:val="18"/>
      <w:szCs w:val="18"/>
    </w:rPr>
  </w:style>
  <w:style w:type="paragraph" w:styleId="8">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Body Text First Indent 21"/>
    <w:basedOn w:val="13"/>
    <w:autoRedefine/>
    <w:qFormat/>
    <w:uiPriority w:val="0"/>
    <w:rPr>
      <w:rFonts w:ascii="仿宋" w:hAnsi="仿宋" w:eastAsia="仿宋_GB2312"/>
      <w:sz w:val="28"/>
      <w:szCs w:val="24"/>
    </w:rPr>
  </w:style>
  <w:style w:type="paragraph" w:customStyle="1" w:styleId="13">
    <w:name w:val="Body Text Indent1"/>
    <w:basedOn w:val="1"/>
    <w:autoRedefine/>
    <w:qFormat/>
    <w:uiPriority w:val="0"/>
    <w:pPr>
      <w:spacing w:after="120"/>
      <w:ind w:left="420" w:leftChars="200"/>
    </w:pPr>
    <w:rPr>
      <w:rFonts w:ascii="仿宋" w:hAnsi="仿宋" w:eastAsia="仿宋_GB2312"/>
      <w:sz w:val="28"/>
      <w:szCs w:val="24"/>
    </w:rPr>
  </w:style>
  <w:style w:type="paragraph" w:customStyle="1" w:styleId="14">
    <w:name w:val="Body Text First Indent 2"/>
    <w:basedOn w:val="15"/>
    <w:autoRedefine/>
    <w:qFormat/>
    <w:uiPriority w:val="0"/>
    <w:rPr>
      <w:rFonts w:ascii="仿宋" w:hAnsi="仿宋" w:eastAsia="仿宋_GB2312"/>
      <w:sz w:val="28"/>
      <w:szCs w:val="24"/>
    </w:rPr>
  </w:style>
  <w:style w:type="paragraph" w:customStyle="1" w:styleId="15">
    <w:name w:val="Body Text Indent"/>
    <w:basedOn w:val="1"/>
    <w:autoRedefine/>
    <w:qFormat/>
    <w:uiPriority w:val="0"/>
    <w:pPr>
      <w:spacing w:after="120"/>
      <w:ind w:left="420" w:leftChars="200"/>
    </w:pPr>
    <w:rPr>
      <w:rFonts w:ascii="仿宋" w:hAnsi="仿宋" w:eastAsia="仿宋_GB2312"/>
      <w:sz w:val="28"/>
      <w:szCs w:val="24"/>
    </w:rPr>
  </w:style>
  <w:style w:type="paragraph" w:customStyle="1" w:styleId="16">
    <w:name w:val="样式1"/>
    <w:basedOn w:val="1"/>
    <w:autoRedefine/>
    <w:qFormat/>
    <w:uiPriority w:val="0"/>
    <w:pPr>
      <w:spacing w:beforeLines="50" w:afterLines="50" w:line="480" w:lineRule="exact"/>
      <w:ind w:firstLine="560" w:firstLineChars="200"/>
      <w:outlineLvl w:val="0"/>
    </w:pPr>
    <w:rPr>
      <w:rFonts w:ascii="黑体" w:hAnsi="黑体" w:eastAsia="黑体"/>
      <w:sz w:val="28"/>
      <w:szCs w:val="28"/>
    </w:rPr>
  </w:style>
  <w:style w:type="paragraph" w:customStyle="1" w:styleId="17">
    <w:name w:val="样式2"/>
    <w:basedOn w:val="1"/>
    <w:link w:val="23"/>
    <w:autoRedefine/>
    <w:qFormat/>
    <w:uiPriority w:val="0"/>
    <w:pPr>
      <w:spacing w:beforeLines="50" w:afterLines="50" w:line="480" w:lineRule="exact"/>
      <w:ind w:firstLine="560" w:firstLineChars="200"/>
      <w:outlineLvl w:val="0"/>
    </w:pPr>
    <w:rPr>
      <w:rFonts w:ascii="楷体" w:hAnsi="楷体" w:eastAsia="楷体"/>
      <w:sz w:val="28"/>
      <w:szCs w:val="28"/>
    </w:rPr>
  </w:style>
  <w:style w:type="paragraph" w:customStyle="1" w:styleId="18">
    <w:name w:val="样式3"/>
    <w:basedOn w:val="1"/>
    <w:link w:val="24"/>
    <w:autoRedefine/>
    <w:qFormat/>
    <w:uiPriority w:val="0"/>
    <w:pPr>
      <w:spacing w:before="50" w:afterLines="50" w:line="480" w:lineRule="exact"/>
      <w:ind w:firstLine="560" w:firstLineChars="200"/>
      <w:outlineLvl w:val="0"/>
    </w:pPr>
    <w:rPr>
      <w:rFonts w:ascii="仿宋" w:hAnsi="仿宋" w:eastAsia="仿宋"/>
      <w:sz w:val="28"/>
      <w:szCs w:val="28"/>
    </w:rPr>
  </w:style>
  <w:style w:type="paragraph" w:customStyle="1" w:styleId="19">
    <w:name w:val="List Paragraph"/>
    <w:basedOn w:val="1"/>
    <w:autoRedefine/>
    <w:qFormat/>
    <w:uiPriority w:val="34"/>
    <w:pPr>
      <w:ind w:firstLine="420" w:firstLineChars="200"/>
    </w:pPr>
    <w:rPr>
      <w:rFonts w:ascii="Calibri" w:hAnsi="Calibri" w:eastAsia="宋体" w:cs="黑体"/>
      <w:szCs w:val="22"/>
    </w:rPr>
  </w:style>
  <w:style w:type="paragraph" w:customStyle="1" w:styleId="20">
    <w:name w:val="No Spacing"/>
    <w:link w:val="27"/>
    <w:autoRedefine/>
    <w:qFormat/>
    <w:uiPriority w:val="1"/>
    <w:rPr>
      <w:rFonts w:ascii="Calibri" w:hAnsi="Calibri" w:eastAsia="宋体" w:cs="黑体"/>
      <w:kern w:val="0"/>
      <w:sz w:val="22"/>
      <w:szCs w:val="22"/>
      <w:lang w:val="en-US" w:eastAsia="zh-CN" w:bidi="ar-SA"/>
    </w:rPr>
  </w:style>
  <w:style w:type="paragraph" w:customStyle="1" w:styleId="21">
    <w:name w:val="Body text|1"/>
    <w:basedOn w:val="1"/>
    <w:autoRedefine/>
    <w:qFormat/>
    <w:uiPriority w:val="0"/>
    <w:pPr>
      <w:widowControl w:val="0"/>
      <w:shd w:val="clear" w:color="auto" w:fill="auto"/>
      <w:spacing w:line="437" w:lineRule="auto"/>
      <w:ind w:firstLine="400"/>
    </w:pPr>
    <w:rPr>
      <w:rFonts w:ascii="宋体" w:hAnsi="宋体" w:eastAsia="宋体" w:cs="宋体"/>
      <w:sz w:val="22"/>
      <w:szCs w:val="22"/>
      <w:u w:val="none"/>
      <w:shd w:val="clear" w:color="auto" w:fill="auto"/>
      <w:lang w:val="zh-TW" w:eastAsia="zh-TW" w:bidi="zh-TW"/>
    </w:rPr>
  </w:style>
  <w:style w:type="character" w:customStyle="1" w:styleId="22">
    <w:name w:val="文档结构图 Char"/>
    <w:basedOn w:val="11"/>
    <w:link w:val="5"/>
    <w:autoRedefine/>
    <w:semiHidden/>
    <w:qFormat/>
    <w:uiPriority w:val="99"/>
    <w:rPr>
      <w:rFonts w:ascii="宋体" w:hAnsi="Calibri" w:eastAsia="宋体" w:cs="Times New Roman"/>
      <w:sz w:val="18"/>
      <w:szCs w:val="18"/>
    </w:rPr>
  </w:style>
  <w:style w:type="character" w:customStyle="1" w:styleId="23">
    <w:name w:val="样式2 Char"/>
    <w:basedOn w:val="11"/>
    <w:link w:val="17"/>
    <w:autoRedefine/>
    <w:qFormat/>
    <w:uiPriority w:val="0"/>
    <w:rPr>
      <w:rFonts w:ascii="楷体" w:hAnsi="楷体" w:eastAsia="楷体" w:cs="Times New Roman"/>
      <w:sz w:val="28"/>
      <w:szCs w:val="28"/>
    </w:rPr>
  </w:style>
  <w:style w:type="character" w:customStyle="1" w:styleId="24">
    <w:name w:val="样式3 Char"/>
    <w:basedOn w:val="11"/>
    <w:link w:val="18"/>
    <w:autoRedefine/>
    <w:qFormat/>
    <w:uiPriority w:val="0"/>
    <w:rPr>
      <w:rFonts w:ascii="仿宋" w:hAnsi="仿宋" w:eastAsia="仿宋" w:cs="Times New Roman"/>
      <w:sz w:val="28"/>
      <w:szCs w:val="28"/>
    </w:rPr>
  </w:style>
  <w:style w:type="character" w:customStyle="1" w:styleId="25">
    <w:name w:val="页眉 Char"/>
    <w:basedOn w:val="11"/>
    <w:link w:val="8"/>
    <w:autoRedefine/>
    <w:qFormat/>
    <w:uiPriority w:val="99"/>
    <w:rPr>
      <w:rFonts w:ascii="Calibri" w:hAnsi="Calibri" w:eastAsia="宋体" w:cs="Times New Roman"/>
      <w:sz w:val="18"/>
      <w:szCs w:val="18"/>
    </w:rPr>
  </w:style>
  <w:style w:type="character" w:customStyle="1" w:styleId="26">
    <w:name w:val="页脚 Char"/>
    <w:basedOn w:val="11"/>
    <w:link w:val="7"/>
    <w:autoRedefine/>
    <w:qFormat/>
    <w:uiPriority w:val="99"/>
    <w:rPr>
      <w:rFonts w:ascii="Calibri" w:hAnsi="Calibri" w:eastAsia="宋体" w:cs="Times New Roman"/>
      <w:sz w:val="18"/>
      <w:szCs w:val="18"/>
    </w:rPr>
  </w:style>
  <w:style w:type="character" w:customStyle="1" w:styleId="27">
    <w:name w:val="无间隔 Char"/>
    <w:basedOn w:val="11"/>
    <w:link w:val="20"/>
    <w:autoRedefine/>
    <w:qFormat/>
    <w:uiPriority w:val="1"/>
    <w:rPr>
      <w:kern w:val="0"/>
      <w:sz w:val="22"/>
    </w:rPr>
  </w:style>
  <w:style w:type="character" w:customStyle="1" w:styleId="28">
    <w:name w:val="批注框文本 Char"/>
    <w:basedOn w:val="11"/>
    <w:link w:val="6"/>
    <w:autoRedefine/>
    <w:semiHidden/>
    <w:qFormat/>
    <w:uiPriority w:val="99"/>
    <w:rPr>
      <w:rFonts w:ascii="Calibri" w:hAnsi="Calibri" w:eastAsia="宋体" w:cs="Times New Roman"/>
      <w:sz w:val="18"/>
      <w:szCs w:val="18"/>
    </w:rPr>
  </w:style>
  <w:style w:type="character" w:customStyle="1" w:styleId="29">
    <w:name w:val="font11"/>
    <w:basedOn w:val="11"/>
    <w:autoRedefine/>
    <w:qFormat/>
    <w:uiPriority w:val="0"/>
    <w:rPr>
      <w:rFonts w:hint="eastAsia" w:ascii="仿宋" w:hAnsi="仿宋" w:eastAsia="仿宋" w:cs="仿宋"/>
      <w:color w:val="000000"/>
      <w:sz w:val="21"/>
      <w:szCs w:val="21"/>
      <w:u w:val="none"/>
    </w:rPr>
  </w:style>
  <w:style w:type="character" w:customStyle="1" w:styleId="30">
    <w:name w:val="font31"/>
    <w:basedOn w:val="11"/>
    <w:autoRedefine/>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5782</Words>
  <Characters>6218</Characters>
  <Lines>84</Lines>
  <Paragraphs>23</Paragraphs>
  <TotalTime>2</TotalTime>
  <ScaleCrop>false</ScaleCrop>
  <LinksUpToDate>false</LinksUpToDate>
  <CharactersWithSpaces>6247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2021-04-23T02:00:00Z</dcterms:created>
  <dc:creator>PC</dc:creator>
  <cp:lastModifiedBy>君肖肖_</cp:lastModifiedBy>
  <cp:lastPrinted>2024-05-13T00:14:00Z</cp:lastPrinted>
  <dcterms:modified xsi:type="dcterms:W3CDTF">2024-05-21T03:19:43Z</dcterms:modified>
  <dc:title>2020年度武汉临空港经济技术开发区高新技术产业建设管理办公室整体绩效自评结果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CA858BF4EC9743FF84F5E78A969B73D9_13</vt:lpwstr>
  </property>
</Properties>
</file>