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2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1202"/>
        <w:gridCol w:w="1231"/>
        <w:gridCol w:w="1161"/>
        <w:gridCol w:w="1161"/>
        <w:gridCol w:w="1582"/>
        <w:gridCol w:w="1596"/>
        <w:gridCol w:w="11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9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年度武汉市东西湖区自然资源和规划局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部门整体绩效自评表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_GB2312" w:hAnsi="宋体" w:eastAsia="楷体_GB2312" w:cs="楷体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楷体_GB2312" w:hAnsi="宋体" w:eastAsia="楷体_GB2312" w:cs="楷体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单位名称：武汉市东西湖区自然资源和规划局                  填报日期：202</w:t>
            </w: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3年</w:t>
            </w:r>
            <w:r>
              <w:rPr>
                <w:rFonts w:hint="default" w:ascii="楷体_GB2312" w:hAnsi="宋体" w:eastAsia="楷体_GB2312" w:cs="楷体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default" w:ascii="楷体_GB2312" w:hAnsi="宋体" w:eastAsia="楷体_GB2312" w:cs="楷体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0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791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武汉市东西湖区自然资源和规划局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0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基本支出总额</w:t>
            </w:r>
          </w:p>
        </w:tc>
        <w:tc>
          <w:tcPr>
            <w:tcW w:w="35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2121.79</w:t>
            </w:r>
          </w:p>
        </w:tc>
        <w:tc>
          <w:tcPr>
            <w:tcW w:w="3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项目支出总额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52792.43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0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情况（万元）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预算数（A）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执行数（B）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执行率（B/A）</w:t>
            </w:r>
          </w:p>
        </w:tc>
        <w:tc>
          <w:tcPr>
            <w:tcW w:w="278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（20分*执行率）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0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部门整体支出总额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61908.37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54914.22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88.70%</w:t>
            </w:r>
          </w:p>
        </w:tc>
        <w:tc>
          <w:tcPr>
            <w:tcW w:w="2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20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年度绩效目标1：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（22分）</w:t>
            </w:r>
          </w:p>
        </w:tc>
        <w:tc>
          <w:tcPr>
            <w:tcW w:w="791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保民生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99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</w:t>
            </w:r>
          </w:p>
        </w:tc>
        <w:tc>
          <w:tcPr>
            <w:tcW w:w="12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22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8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年初目标值（A）</w:t>
            </w:r>
          </w:p>
        </w:tc>
        <w:tc>
          <w:tcPr>
            <w:tcW w:w="15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实际完成值（B）</w:t>
            </w:r>
          </w:p>
        </w:tc>
        <w:tc>
          <w:tcPr>
            <w:tcW w:w="11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9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   （18分）</w:t>
            </w:r>
          </w:p>
        </w:tc>
        <w:tc>
          <w:tcPr>
            <w:tcW w:w="12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数量指标（10分）</w:t>
            </w:r>
          </w:p>
        </w:tc>
        <w:tc>
          <w:tcPr>
            <w:tcW w:w="2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森林覆盖率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较去年增长0.02%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0.02%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9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不动产登记服务进社区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每月一次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9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 （4分）</w:t>
            </w:r>
          </w:p>
        </w:tc>
        <w:tc>
          <w:tcPr>
            <w:tcW w:w="2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人大政协提案办复率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79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 （4分）</w:t>
            </w:r>
          </w:p>
        </w:tc>
        <w:tc>
          <w:tcPr>
            <w:tcW w:w="2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成本控制率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控制在预算内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控制在预算内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79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效益指标（4分）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    （4分）</w:t>
            </w:r>
          </w:p>
        </w:tc>
        <w:tc>
          <w:tcPr>
            <w:tcW w:w="2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保障耕地安全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保障耕地安全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耕地面积不低于市红线，保障耕地安全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20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年度绩效目标2：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（28分）</w:t>
            </w:r>
          </w:p>
        </w:tc>
        <w:tc>
          <w:tcPr>
            <w:tcW w:w="791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保发展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年初目标值（A）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实际完成值（B）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2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产出指标（24分）</w:t>
            </w:r>
          </w:p>
        </w:tc>
        <w:tc>
          <w:tcPr>
            <w:tcW w:w="123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数量指标（20分）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规划编制项目个数   （5分）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18个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12个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建设用地年度获批总量（5分）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建设工程规划许可证的审核办理（5分）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审批档案电子化率   （5分）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90%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&gt;90%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 （4分）</w:t>
            </w:r>
          </w:p>
        </w:tc>
        <w:tc>
          <w:tcPr>
            <w:tcW w:w="232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成本控制率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控制在预算内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控制在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预算内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效益指标（4分）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    （4分）</w:t>
            </w:r>
          </w:p>
        </w:tc>
        <w:tc>
          <w:tcPr>
            <w:tcW w:w="2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土地出让金的征收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完成土地出让收入预算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已完成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20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年度绩效目标3：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（30分）</w:t>
            </w:r>
          </w:p>
        </w:tc>
        <w:tc>
          <w:tcPr>
            <w:tcW w:w="791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保权益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9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</w:t>
            </w:r>
          </w:p>
        </w:tc>
        <w:tc>
          <w:tcPr>
            <w:tcW w:w="12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22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8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年初目标值（A）</w:t>
            </w:r>
          </w:p>
        </w:tc>
        <w:tc>
          <w:tcPr>
            <w:tcW w:w="15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实际完成值（B）</w:t>
            </w:r>
          </w:p>
        </w:tc>
        <w:tc>
          <w:tcPr>
            <w:tcW w:w="11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9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产出指标（15分）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  （5分）</w:t>
            </w:r>
          </w:p>
        </w:tc>
        <w:tc>
          <w:tcPr>
            <w:tcW w:w="2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达到区信访局制发信访事项登记录入考核值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95%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9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 （5分）</w:t>
            </w:r>
          </w:p>
        </w:tc>
        <w:tc>
          <w:tcPr>
            <w:tcW w:w="2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地质环境监测项目合格率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通过验收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通过验收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9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 （5分）</w:t>
            </w:r>
          </w:p>
        </w:tc>
        <w:tc>
          <w:tcPr>
            <w:tcW w:w="2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成本控制率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控制在预算内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控制在预算内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9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效益指标（10分）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社会效益指标（5分）</w:t>
            </w:r>
          </w:p>
        </w:tc>
        <w:tc>
          <w:tcPr>
            <w:tcW w:w="2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对外服务水平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考核排名保持前列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考核排名保持前列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9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  （5分）</w:t>
            </w:r>
          </w:p>
        </w:tc>
        <w:tc>
          <w:tcPr>
            <w:tcW w:w="2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提高群众防灾减灾意识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9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满意度指标（5分）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服务对象满意度指标（5分）</w:t>
            </w:r>
          </w:p>
        </w:tc>
        <w:tc>
          <w:tcPr>
            <w:tcW w:w="2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信访群众满意度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912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96.07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2" w:hRule="atLeast"/>
        </w:trPr>
        <w:tc>
          <w:tcPr>
            <w:tcW w:w="20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偏差大或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目标未完成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原因分析</w:t>
            </w:r>
          </w:p>
        </w:tc>
        <w:tc>
          <w:tcPr>
            <w:tcW w:w="791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40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1.本年度预算存在偏差，主要是以下几方面原因：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0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①规划编制经费项目年初预算3,837.60万元，实际执行1,560.19万元，项目执行率40.66%，项目执行率较低，其原因为：一是预算项目责任主体、经费来源发生变化，导致项目预算资金无法执行，村庄规划项目根据2022年市级工作安排，确定由各街道办事处负责规划编制及其经费筹措、支付工作，预算算资金300.00万元无法执行；城市重点功能片区实施规划项目按照“成熟一片，改造一片”的开发模式，根据区土资委会会议精神，将该项目编制费用纳入到土地供应成本，编制费用从土地预算资金支付。二是因政策变化，武汉市和东西湖区需重新划定“三区三线”、新编市级与区级国土空间总体规划，全区控规修编工作缺乏上位规划支撑，导致东西湖区控制性详细规划评估及优化项目终止，预算支出减少323.81万元。三是因财政资金紧张，596.40万元应付项目资金未能支付。四是项目启动基础条件不完善或未达到，导致项目实施进度滞后或未能启动，预算资金578.75万元未能执行。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0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②征地和拆迁补偿支出项目年初预算14,441.50万元，实际执行12,378.12万元，因税务系统改革，规费中有偿使用费未从单位支出，导致预算执行情况有差异。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0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③土地利用综合管理工作经费项目，年初预算230.00万元，实际执行111.00万元，因2022年东西湖区城镇建设用地标定地价更新、用地基准地价更新技术服务费两个项目需跨年完成、跨年支付，按合同进度本年度只支付了项目首笔款项，导致项目执行率偏低。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0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④林业工作经费项目，年初预算150.00万元，预算指标调减9.28万元，调减后预算金额为140.72万元，实际执行78.72万元，因区级林勘及病虫害防治相关项目资金由市级经费支出，且林勘类项目周期较长，需至2023年度项目才完成，导致区级预算资金使用率较低。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0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⑤在线执法系统技术服务项目年初预算160.00万元，实际执行59.70万元，因我局2022年第17次党组会议研究决定，在线执法系统建设经费控制在60.00万元以内，导致预算执行情况有差异。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00" w:firstLineChars="20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2.预算编制不够科学、全面。本年开始实施需跨年完成、跨年支付的项目，编制预算时全额列支项目总额，未根据本年预计完成进度或工作量等测算本年需支出金额，影响预算准确性。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0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zh-TW" w:eastAsia="zh-TW" w:bidi="ar"/>
              </w:rPr>
              <w:t>绩效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zh-TW" w:eastAsia="zh-CN" w:bidi="ar"/>
              </w:rPr>
              <w:t>指标设置不合理，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如整体项目绩效指标中，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zh-TW" w:eastAsia="zh-CN" w:bidi="ar"/>
              </w:rPr>
              <w:t>部分年度目标未设置满意度指标；部分绩效目标值设置不合理，例如数量指标建设用地年度获批总量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100%（可以将目标值改为具体面积，或者将指标设为“建设用地年度获批率”，指标值设为“100%”）。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40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8" w:hRule="atLeast"/>
        </w:trPr>
        <w:tc>
          <w:tcPr>
            <w:tcW w:w="20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改进措施及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结果应用方案</w:t>
            </w:r>
          </w:p>
        </w:tc>
        <w:tc>
          <w:tcPr>
            <w:tcW w:w="791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40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0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zh-TW" w:eastAsia="zh-CN" w:bidi="ar"/>
              </w:rPr>
              <w:t>年度预算执行中，根据实际情况，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及时了解预算执行差异，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zh-TW" w:eastAsia="zh-CN" w:bidi="ar"/>
              </w:rPr>
              <w:t>定期做好预算执行分析，掌握预算执行进度，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合理调整、纠正预算执行偏差，切实提高部门预算收支管理水平。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0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科学编制预算资金，编制预算时多方位考虑测算依据，提高预算编制准确性。及时了解相关文件政策，加强与上级部门、业务关联部门的沟通，尽可能及时掌握政策、项目工作安排变化，以便预算安排时考虑跨年项目、政策或工作安排变化的影响，更合理、全面安排预算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00" w:firstLineChars="20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3.进一步优化和改善指标体系，更科学、全面的制定并细化绩效指标目标值。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6" w:hRule="atLeast"/>
        </w:trPr>
        <w:tc>
          <w:tcPr>
            <w:tcW w:w="20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单位主要负责人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签批意见</w:t>
            </w:r>
          </w:p>
        </w:tc>
        <w:tc>
          <w:tcPr>
            <w:tcW w:w="791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签名：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年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9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1.预算执行情况口径：预算数为调整后财政资金总额（包括上年结余结转），执行数为资金使用单位财政资金实际支出数。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定量指标完成数汇总原则：绝对值直接累加计算，相对值按照资金额度加权平均计算。定量指标计分原则：正向指标（即目标值为≥X,得分=权重*B/A），反向指标（即目标值为≤X，得分=权重*A/B），得分不得突破权重总额。定量指标先汇总完成数，再计算得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定性指标计分原则：达成预期指标、部分达成预期指标并具有一定效果、未达成预期指标且效果较差三档，分别按照该指标对应分值区间100-80%（含80%）、80-50%（含50%）、50-0%合理确定分值。汇总时，以资金额度为权重，对分值进行加权平均计算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4.基于经济性和必要性等因素考虑，满意度指标暂可不作为必评指标。</w:t>
            </w:r>
          </w:p>
        </w:tc>
      </w:tr>
    </w:tbl>
    <w:p/>
    <w:sectPr>
      <w:pgSz w:w="11906" w:h="16838"/>
      <w:pgMar w:top="1440" w:right="1800" w:bottom="1440" w:left="1236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5NWE4YzVkNzk4MzFjYjMwZmE1ZTdiNWE5Y2VkNWYifQ=="/>
  </w:docVars>
  <w:rsids>
    <w:rsidRoot w:val="5D1B2134"/>
    <w:rsid w:val="0BD4512E"/>
    <w:rsid w:val="16F94C2D"/>
    <w:rsid w:val="2E776EC9"/>
    <w:rsid w:val="5D1B2134"/>
    <w:rsid w:val="72DF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widowControl w:val="0"/>
      <w:spacing w:before="0" w:after="120"/>
      <w:ind w:left="420" w:leftChars="200" w:right="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qFormat/>
    <w:uiPriority w:val="0"/>
    <w:pPr>
      <w:widowControl w:val="0"/>
      <w:spacing w:before="0" w:after="120"/>
      <w:ind w:left="420" w:leftChars="200" w:right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Body Text First Indent 2"/>
    <w:basedOn w:val="7"/>
    <w:qFormat/>
    <w:uiPriority w:val="0"/>
    <w:rPr>
      <w:rFonts w:ascii="仿宋" w:hAnsi="仿宋" w:eastAsia="仿宋_GB2312"/>
      <w:sz w:val="28"/>
      <w:szCs w:val="24"/>
    </w:rPr>
  </w:style>
  <w:style w:type="paragraph" w:customStyle="1" w:styleId="7">
    <w:name w:val="Body Text Indent"/>
    <w:basedOn w:val="1"/>
    <w:qFormat/>
    <w:uiPriority w:val="0"/>
    <w:pPr>
      <w:spacing w:after="120"/>
      <w:ind w:left="420" w:leftChars="200"/>
    </w:pPr>
    <w:rPr>
      <w:rFonts w:ascii="仿宋" w:hAnsi="仿宋" w:eastAsia="仿宋_GB2312"/>
      <w:sz w:val="28"/>
      <w:szCs w:val="24"/>
    </w:rPr>
  </w:style>
  <w:style w:type="paragraph" w:customStyle="1" w:styleId="8">
    <w:name w:val="Body text|1"/>
    <w:basedOn w:val="1"/>
    <w:qFormat/>
    <w:uiPriority w:val="0"/>
    <w:pPr>
      <w:widowControl w:val="0"/>
      <w:shd w:val="clear" w:color="auto" w:fill="auto"/>
      <w:spacing w:line="437" w:lineRule="auto"/>
      <w:ind w:firstLine="400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2321</Words>
  <Characters>2580</Characters>
  <Lines>0</Lines>
  <Paragraphs>0</Paragraphs>
  <TotalTime>9</TotalTime>
  <ScaleCrop>false</ScaleCrop>
  <LinksUpToDate>false</LinksUpToDate>
  <CharactersWithSpaces>2960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2022-06-14T03:26:00Z</dcterms:created>
  <dc:creator>老鼠</dc:creator>
  <cp:lastModifiedBy>老鼠</cp:lastModifiedBy>
  <dcterms:modified xsi:type="dcterms:W3CDTF">2023-07-25T01:12:09Z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37D996060BF84B7ABCFA1B31368E330B_13</vt:lpwstr>
  </property>
</Properties>
</file>