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000000"/>
          <w:kern w:val="0"/>
          <w:sz w:val="36"/>
          <w:szCs w:val="36"/>
          <w:lang w:val="en-US" w:eastAsia="en-US"/>
        </w:rPr>
      </w:pPr>
      <w:r>
        <w:rPr>
          <w:rFonts w:hint="eastAsia" w:ascii="方正小标宋简体" w:hAnsi="方正小标宋简体" w:eastAsia="方正小标宋简体" w:cs="方正小标宋简体"/>
          <w:color w:val="000000"/>
          <w:kern w:val="0"/>
          <w:sz w:val="36"/>
          <w:szCs w:val="36"/>
          <w:lang w:val="en-US" w:eastAsia="en-US"/>
        </w:rPr>
        <w:t>武汉市东西湖区自然资源和规划局</w:t>
      </w:r>
    </w:p>
    <w:p>
      <w:pPr>
        <w:jc w:val="center"/>
        <w:rPr>
          <w:rFonts w:hint="eastAsia" w:ascii="方正小标宋简体" w:hAnsi="方正小标宋简体" w:eastAsia="方正小标宋简体" w:cs="方正小标宋简体"/>
          <w:color w:val="000000"/>
          <w:kern w:val="0"/>
          <w:sz w:val="36"/>
          <w:szCs w:val="36"/>
          <w:lang w:val="en-US" w:eastAsia="en-US"/>
        </w:rPr>
      </w:pPr>
      <w:r>
        <w:rPr>
          <w:rFonts w:hint="eastAsia" w:ascii="方正小标宋简体" w:hAnsi="方正小标宋简体" w:eastAsia="方正小标宋简体" w:cs="方正小标宋简体"/>
          <w:color w:val="000000"/>
          <w:kern w:val="0"/>
          <w:sz w:val="36"/>
          <w:szCs w:val="36"/>
          <w:lang w:val="en-US" w:eastAsia="zh-CN"/>
        </w:rPr>
        <w:t>2022年</w:t>
      </w:r>
      <w:r>
        <w:rPr>
          <w:rFonts w:hint="eastAsia" w:ascii="方正小标宋简体" w:hAnsi="方正小标宋简体" w:eastAsia="方正小标宋简体" w:cs="方正小标宋简体"/>
          <w:color w:val="000000"/>
          <w:kern w:val="0"/>
          <w:sz w:val="36"/>
          <w:szCs w:val="36"/>
          <w:lang w:val="en-US" w:eastAsia="en-US"/>
        </w:rPr>
        <w:t>整体绩效自评结果</w:t>
      </w:r>
    </w:p>
    <w:p>
      <w:pPr>
        <w:widowControl/>
        <w:spacing w:line="560" w:lineRule="exact"/>
        <w:jc w:val="center"/>
        <w:rPr>
          <w:rFonts w:ascii="楷体" w:hAnsi="楷体" w:eastAsia="楷体" w:cs="宋体"/>
          <w:color w:val="000000"/>
          <w:kern w:val="0"/>
          <w:sz w:val="28"/>
          <w:szCs w:val="28"/>
        </w:rPr>
      </w:pPr>
      <w:r>
        <w:rPr>
          <w:rFonts w:hint="eastAsia" w:ascii="楷体" w:hAnsi="楷体" w:eastAsia="楷体" w:cs="宋体"/>
          <w:color w:val="000000"/>
          <w:kern w:val="0"/>
          <w:sz w:val="28"/>
          <w:szCs w:val="28"/>
        </w:rPr>
        <w:t>（缩略版）</w:t>
      </w:r>
    </w:p>
    <w:p>
      <w:pPr>
        <w:widowControl/>
        <w:spacing w:line="432" w:lineRule="atLeast"/>
        <w:jc w:val="center"/>
        <w:rPr>
          <w:rFonts w:ascii="宋体" w:hAnsi="宋体" w:cs="宋体"/>
          <w:color w:val="000000"/>
          <w:kern w:val="0"/>
          <w:sz w:val="24"/>
          <w:szCs w:val="24"/>
        </w:rPr>
      </w:pPr>
    </w:p>
    <w:p>
      <w:pPr>
        <w:pStyle w:val="20"/>
        <w:keepNext w:val="0"/>
        <w:keepLines w:val="0"/>
        <w:pageBreakBefore w:val="0"/>
        <w:widowControl w:val="0"/>
        <w:shd w:val="clear" w:color="auto" w:fill="auto"/>
        <w:kinsoku/>
        <w:wordWrap/>
        <w:overflowPunct/>
        <w:topLinePunct w:val="0"/>
        <w:autoSpaceDE/>
        <w:autoSpaceDN/>
        <w:bidi w:val="0"/>
        <w:adjustRightInd/>
        <w:spacing w:before="0" w:after="0" w:line="560" w:lineRule="exact"/>
        <w:ind w:left="0" w:leftChars="0" w:right="0" w:firstLine="640" w:firstLineChars="200"/>
        <w:jc w:val="both"/>
        <w:textAlignment w:val="auto"/>
        <w:rPr>
          <w:rFonts w:hint="eastAsia" w:ascii="黑体" w:hAnsi="黑体" w:eastAsia="黑体" w:cs="黑体"/>
          <w:color w:val="000000"/>
          <w:spacing w:val="0"/>
          <w:w w:val="100"/>
          <w:kern w:val="0"/>
          <w:position w:val="0"/>
          <w:sz w:val="32"/>
          <w:szCs w:val="32"/>
          <w:highlight w:val="none"/>
          <w:lang w:eastAsia="zh-CN"/>
        </w:rPr>
      </w:pPr>
      <w:r>
        <w:rPr>
          <w:rFonts w:hint="eastAsia" w:ascii="黑体" w:hAnsi="黑体" w:eastAsia="黑体" w:cs="黑体"/>
          <w:color w:val="000000"/>
          <w:spacing w:val="0"/>
          <w:w w:val="100"/>
          <w:kern w:val="0"/>
          <w:position w:val="0"/>
          <w:sz w:val="32"/>
          <w:szCs w:val="32"/>
          <w:highlight w:val="none"/>
          <w:lang w:eastAsia="zh-CN"/>
        </w:rPr>
        <w:t>一、自评结论</w:t>
      </w:r>
    </w:p>
    <w:p>
      <w:pPr>
        <w:widowControl/>
        <w:spacing w:line="560" w:lineRule="exact"/>
        <w:ind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（一）部门整体绩效自评得分</w:t>
      </w:r>
    </w:p>
    <w:p>
      <w:pPr>
        <w:widowControl/>
        <w:spacing w:line="560" w:lineRule="exact"/>
        <w:ind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2022年度</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武汉市东西湖区自然资源和规划局</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整体绩效评价自评综合得分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96.07</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分，其中：预算执行率基准分值20分，得分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17.74</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产出、</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效益和满意度指标基准分值</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8</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0分，得</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分78.33</w:t>
      </w:r>
      <w:r>
        <w:rPr>
          <w:rFonts w:hint="eastAsia" w:ascii="仿宋" w:hAnsi="仿宋" w:eastAsia="仿宋" w:cs="仿宋"/>
          <w:color w:val="000000"/>
          <w:spacing w:val="0"/>
          <w:w w:val="100"/>
          <w:kern w:val="0"/>
          <w:position w:val="0"/>
          <w:sz w:val="32"/>
          <w:szCs w:val="32"/>
          <w:highlight w:val="none"/>
          <w:u w:val="none"/>
          <w:shd w:val="clear" w:color="auto" w:fill="auto"/>
          <w:lang w:val="zh-TW" w:eastAsia="zh-CN" w:bidi="zh-TW"/>
        </w:rPr>
        <w:t>分。</w:t>
      </w:r>
    </w:p>
    <w:p>
      <w:pPr>
        <w:widowControl/>
        <w:spacing w:line="560" w:lineRule="exact"/>
        <w:ind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（二）部门整体绩效目标完成情况</w:t>
      </w:r>
    </w:p>
    <w:p>
      <w:pPr>
        <w:pStyle w:val="20"/>
        <w:keepNext w:val="0"/>
        <w:keepLines w:val="0"/>
        <w:pageBreakBefore w:val="0"/>
        <w:widowControl w:val="0"/>
        <w:shd w:val="clear" w:color="auto" w:fill="auto"/>
        <w:kinsoku/>
        <w:wordWrap/>
        <w:overflowPunct/>
        <w:topLinePunct w:val="0"/>
        <w:autoSpaceDE/>
        <w:autoSpaceDN/>
        <w:bidi w:val="0"/>
        <w:adjustRightInd/>
        <w:spacing w:before="0" w:after="0" w:line="560" w:lineRule="exact"/>
        <w:ind w:left="0" w:leftChars="0" w:right="0" w:firstLine="640" w:firstLineChars="200"/>
        <w:jc w:val="both"/>
        <w:textAlignment w:val="auto"/>
        <w:rPr>
          <w:rFonts w:hint="eastAsia" w:ascii="楷体" w:hAnsi="楷体" w:eastAsia="楷体" w:cs="楷体"/>
          <w:color w:val="000000"/>
          <w:spacing w:val="0"/>
          <w:w w:val="100"/>
          <w:kern w:val="0"/>
          <w:position w:val="0"/>
          <w:sz w:val="32"/>
          <w:szCs w:val="32"/>
          <w:highlight w:val="none"/>
          <w:lang w:val="en-US" w:eastAsia="zh-CN"/>
        </w:rPr>
      </w:pPr>
      <w:r>
        <w:rPr>
          <w:rFonts w:hint="eastAsia" w:ascii="楷体" w:hAnsi="楷体" w:eastAsia="楷体" w:cs="楷体"/>
          <w:color w:val="000000"/>
          <w:spacing w:val="0"/>
          <w:w w:val="100"/>
          <w:kern w:val="0"/>
          <w:position w:val="0"/>
          <w:sz w:val="32"/>
          <w:szCs w:val="32"/>
          <w:highlight w:val="none"/>
          <w:lang w:val="en-US" w:eastAsia="zh-CN"/>
        </w:rPr>
        <w:t>1.预算执行情况</w:t>
      </w:r>
    </w:p>
    <w:p>
      <w:pPr>
        <w:widowControl/>
        <w:spacing w:line="560" w:lineRule="exact"/>
        <w:ind w:firstLine="640" w:firstLineChars="200"/>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bookmarkStart w:id="0" w:name="_Toc21184818"/>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2022年度武汉市东西湖区自然资源和规划局整体调整后预算总额61,908.37万元，</w:t>
      </w:r>
      <w:bookmarkEnd w:id="0"/>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决算支出总额54,914.22万元。</w:t>
      </w:r>
    </w:p>
    <w:p>
      <w:pPr>
        <w:widowControl/>
        <w:spacing w:line="560" w:lineRule="exact"/>
        <w:ind w:firstLine="640" w:firstLineChars="200"/>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预算执行率=（决算支出总额/调整后预算总额）×100%=88.70%。</w:t>
      </w:r>
    </w:p>
    <w:p>
      <w:pPr>
        <w:pStyle w:val="20"/>
        <w:keepNext w:val="0"/>
        <w:keepLines w:val="0"/>
        <w:pageBreakBefore w:val="0"/>
        <w:widowControl w:val="0"/>
        <w:shd w:val="clear" w:color="auto" w:fill="auto"/>
        <w:kinsoku/>
        <w:wordWrap/>
        <w:overflowPunct/>
        <w:topLinePunct w:val="0"/>
        <w:autoSpaceDE/>
        <w:autoSpaceDN/>
        <w:bidi w:val="0"/>
        <w:adjustRightInd/>
        <w:spacing w:before="0" w:after="0" w:line="560" w:lineRule="exact"/>
        <w:ind w:left="0" w:leftChars="0" w:right="0" w:firstLine="640" w:firstLineChars="200"/>
        <w:jc w:val="both"/>
        <w:textAlignment w:val="auto"/>
        <w:rPr>
          <w:rFonts w:hint="eastAsia" w:ascii="楷体" w:hAnsi="楷体" w:eastAsia="楷体" w:cs="楷体"/>
          <w:color w:val="000000"/>
          <w:spacing w:val="0"/>
          <w:w w:val="100"/>
          <w:kern w:val="0"/>
          <w:position w:val="0"/>
          <w:sz w:val="32"/>
          <w:szCs w:val="32"/>
          <w:highlight w:val="none"/>
          <w:lang w:val="en-US" w:eastAsia="zh-CN"/>
        </w:rPr>
      </w:pPr>
      <w:r>
        <w:rPr>
          <w:rFonts w:hint="eastAsia" w:ascii="楷体" w:hAnsi="楷体" w:eastAsia="楷体" w:cs="楷体"/>
          <w:color w:val="000000"/>
          <w:spacing w:val="0"/>
          <w:w w:val="100"/>
          <w:kern w:val="0"/>
          <w:position w:val="0"/>
          <w:sz w:val="32"/>
          <w:szCs w:val="32"/>
          <w:highlight w:val="none"/>
          <w:lang w:val="en-US" w:eastAsia="zh-CN"/>
        </w:rPr>
        <w:t>2.完成的绩效目标</w:t>
      </w:r>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1071"/>
        <w:gridCol w:w="1389"/>
        <w:gridCol w:w="1770"/>
        <w:gridCol w:w="1320"/>
        <w:gridCol w:w="1305"/>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blHeader/>
          <w:jc w:val="center"/>
        </w:trPr>
        <w:tc>
          <w:tcPr>
            <w:tcW w:w="1051" w:type="dxa"/>
            <w:vAlign w:val="center"/>
          </w:tcPr>
          <w:p>
            <w:pPr>
              <w:widowControl/>
              <w:jc w:val="center"/>
              <w:rPr>
                <w:rFonts w:ascii="仿宋" w:hAnsi="仿宋" w:eastAsia="仿宋"/>
                <w:b/>
                <w:bCs/>
                <w:color w:val="000000"/>
                <w:kern w:val="0"/>
                <w:szCs w:val="21"/>
              </w:rPr>
            </w:pPr>
            <w:r>
              <w:rPr>
                <w:rFonts w:hint="eastAsia" w:ascii="仿宋" w:hAnsi="仿宋" w:eastAsia="仿宋"/>
                <w:b/>
                <w:bCs/>
                <w:color w:val="000000"/>
                <w:kern w:val="0"/>
                <w:szCs w:val="21"/>
              </w:rPr>
              <w:t>目标</w:t>
            </w:r>
          </w:p>
        </w:tc>
        <w:tc>
          <w:tcPr>
            <w:tcW w:w="1071"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一级指标</w:t>
            </w:r>
          </w:p>
        </w:tc>
        <w:tc>
          <w:tcPr>
            <w:tcW w:w="1389"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二级指标</w:t>
            </w:r>
          </w:p>
        </w:tc>
        <w:tc>
          <w:tcPr>
            <w:tcW w:w="1770"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三级指标</w:t>
            </w:r>
          </w:p>
        </w:tc>
        <w:tc>
          <w:tcPr>
            <w:tcW w:w="1320"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年初目标值（A）</w:t>
            </w:r>
          </w:p>
        </w:tc>
        <w:tc>
          <w:tcPr>
            <w:tcW w:w="1305"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实际完成值（B）</w:t>
            </w:r>
          </w:p>
        </w:tc>
        <w:tc>
          <w:tcPr>
            <w:tcW w:w="672"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051" w:type="dxa"/>
            <w:vMerge w:val="restart"/>
            <w:vAlign w:val="center"/>
          </w:tcPr>
          <w:p>
            <w:pPr>
              <w:keepNext w:val="0"/>
              <w:keepLines w:val="0"/>
              <w:widowControl/>
              <w:suppressLineNumbers w:val="0"/>
              <w:jc w:val="center"/>
              <w:textAlignment w:val="center"/>
              <w:rPr>
                <w:rFonts w:hint="eastAsia" w:ascii="仿宋" w:hAnsi="仿宋" w:eastAsia="仿宋" w:cs="宋体"/>
                <w:color w:val="000000"/>
                <w:kern w:val="0"/>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年度目标1：保民生 （22分）</w:t>
            </w:r>
          </w:p>
        </w:tc>
        <w:tc>
          <w:tcPr>
            <w:tcW w:w="1071" w:type="dxa"/>
            <w:vMerge w:val="restart"/>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产出指标（18分）</w:t>
            </w:r>
          </w:p>
        </w:tc>
        <w:tc>
          <w:tcPr>
            <w:tcW w:w="1389" w:type="dxa"/>
            <w:vMerge w:val="restart"/>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数量指标  （10分）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森林覆盖率</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较去年增长0.02%</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0.02%</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051" w:type="dxa"/>
            <w:vMerge w:val="continue"/>
            <w:vAlign w:val="center"/>
          </w:tcPr>
          <w:p>
            <w:pPr>
              <w:keepNext w:val="0"/>
              <w:keepLines w:val="0"/>
              <w:widowControl/>
              <w:suppressLineNumbers w:val="0"/>
              <w:jc w:val="center"/>
              <w:textAlignment w:val="center"/>
              <w:rPr>
                <w:rFonts w:hint="eastAsia" w:ascii="仿宋" w:hAnsi="仿宋" w:eastAsia="仿宋" w:cs="Times New Roman"/>
                <w:color w:val="000000"/>
                <w:kern w:val="2"/>
                <w:sz w:val="21"/>
                <w:szCs w:val="21"/>
                <w:highlight w:val="none"/>
                <w:lang w:val="en-US" w:eastAsia="zh-CN" w:bidi="ar-SA"/>
              </w:rPr>
            </w:pPr>
          </w:p>
        </w:tc>
        <w:tc>
          <w:tcPr>
            <w:tcW w:w="1071"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389"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不动产登记服务进社区</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每月一次</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12</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51" w:type="dxa"/>
            <w:vMerge w:val="continue"/>
            <w:vAlign w:val="center"/>
          </w:tcPr>
          <w:p>
            <w:pPr>
              <w:keepNext w:val="0"/>
              <w:keepLines w:val="0"/>
              <w:widowControl/>
              <w:suppressLineNumbers w:val="0"/>
              <w:jc w:val="center"/>
              <w:textAlignment w:val="center"/>
              <w:rPr>
                <w:rFonts w:ascii="仿宋" w:hAnsi="仿宋" w:eastAsia="仿宋"/>
                <w:color w:val="000000"/>
                <w:szCs w:val="21"/>
              </w:rPr>
            </w:pPr>
          </w:p>
        </w:tc>
        <w:tc>
          <w:tcPr>
            <w:tcW w:w="1071"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时效指标   （4分）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人大政协提案办复率</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100%</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100%</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051" w:type="dxa"/>
            <w:vMerge w:val="continue"/>
            <w:vAlign w:val="center"/>
          </w:tcPr>
          <w:p>
            <w:pPr>
              <w:keepNext w:val="0"/>
              <w:keepLines w:val="0"/>
              <w:widowControl/>
              <w:suppressLineNumbers w:val="0"/>
              <w:jc w:val="center"/>
              <w:textAlignment w:val="center"/>
              <w:rPr>
                <w:rFonts w:hint="eastAsia" w:ascii="仿宋" w:hAnsi="仿宋" w:eastAsia="仿宋" w:cs="宋体"/>
                <w:color w:val="000000"/>
                <w:kern w:val="0"/>
                <w:szCs w:val="21"/>
              </w:rPr>
            </w:pPr>
          </w:p>
        </w:tc>
        <w:tc>
          <w:tcPr>
            <w:tcW w:w="1071" w:type="dxa"/>
            <w:vMerge w:val="continue"/>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389"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成本指标  （4分）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成本控制率</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控制在预算内</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控制在预算内</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051" w:type="dxa"/>
            <w:vMerge w:val="continue"/>
            <w:vAlign w:val="center"/>
          </w:tcPr>
          <w:p>
            <w:pPr>
              <w:keepNext w:val="0"/>
              <w:keepLines w:val="0"/>
              <w:widowControl/>
              <w:suppressLineNumbers w:val="0"/>
              <w:jc w:val="center"/>
              <w:textAlignment w:val="center"/>
              <w:rPr>
                <w:rFonts w:hint="eastAsia" w:ascii="仿宋" w:hAnsi="仿宋" w:eastAsia="仿宋" w:cs="宋体"/>
                <w:color w:val="000000"/>
                <w:kern w:val="0"/>
                <w:szCs w:val="21"/>
              </w:rPr>
            </w:pPr>
          </w:p>
        </w:tc>
        <w:tc>
          <w:tcPr>
            <w:tcW w:w="1071"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效益指标（4分）</w:t>
            </w: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社会效益指标（4分）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保障耕地安全</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保障耕地安全</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保障耕地安全</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r>
    </w:tbl>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1071"/>
        <w:gridCol w:w="1389"/>
        <w:gridCol w:w="1770"/>
        <w:gridCol w:w="1320"/>
        <w:gridCol w:w="1305"/>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restart"/>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年度目标2：保发展  （28分）</w:t>
            </w:r>
          </w:p>
        </w:tc>
        <w:tc>
          <w:tcPr>
            <w:tcW w:w="1071" w:type="dxa"/>
            <w:vMerge w:val="restart"/>
            <w:vAlign w:val="center"/>
          </w:tcPr>
          <w:p>
            <w:pPr>
              <w:jc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产出指标（24分）</w:t>
            </w:r>
          </w:p>
        </w:tc>
        <w:tc>
          <w:tcPr>
            <w:tcW w:w="1389" w:type="dxa"/>
            <w:vMerge w:val="restart"/>
            <w:vAlign w:val="center"/>
          </w:tcPr>
          <w:p>
            <w:pPr>
              <w:jc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数量指标 （20分）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建设用地年度</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获批总量（5分）</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100%</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100%</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389"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建设工程规划许可证的审核办理（5分）</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100%</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100%</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389"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审批档案</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电子化率（5分）</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90%</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&gt;90%</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成本指标  （4分）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成本控制率</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控制在预算内</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控制在预算内</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效益指标（4分）</w:t>
            </w: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经济效益指标（4分）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土地出让金的征收</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完成土地出让收入预算</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已完成</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restart"/>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年度目标3：保权益  （30分）</w:t>
            </w:r>
          </w:p>
        </w:tc>
        <w:tc>
          <w:tcPr>
            <w:tcW w:w="1071" w:type="dxa"/>
            <w:vMerge w:val="restart"/>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产出指标（15分）</w:t>
            </w: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数量指标  （5分）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达到区信访局制发信访事项登记录入考核值</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95%</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95%</w:t>
            </w:r>
          </w:p>
        </w:tc>
        <w:tc>
          <w:tcPr>
            <w:tcW w:w="672"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质量指标  （5分）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地质环境监测项目合格率</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通过验收</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通过验收</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成本指标  （5分）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成本控制率</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控制在预算内</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控制在预算内</w:t>
            </w:r>
          </w:p>
        </w:tc>
        <w:tc>
          <w:tcPr>
            <w:tcW w:w="672"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Merge w:val="restart"/>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效益指标（10分）</w:t>
            </w: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社会效益指标（5分）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对外服务水平</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考核排名保持前列</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考核排名保持前列</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Merge w:val="continue"/>
            <w:vAlign w:val="center"/>
          </w:tcPr>
          <w:p>
            <w:pPr>
              <w:jc w:val="center"/>
              <w:rPr>
                <w:rFonts w:hint="eastAsia" w:ascii="仿宋" w:hAnsi="仿宋" w:eastAsia="仿宋" w:cs="仿宋"/>
                <w:i w:val="0"/>
                <w:iCs w:val="0"/>
                <w:color w:val="000000"/>
                <w:kern w:val="0"/>
                <w:sz w:val="21"/>
                <w:szCs w:val="21"/>
                <w:u w:val="none"/>
                <w:lang w:val="en-US" w:eastAsia="zh-CN" w:bidi="ar"/>
              </w:rPr>
            </w:pP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可持续影响指标（5分）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提高群众防灾减灾意识</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95%</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95%</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1" w:type="dxa"/>
            <w:vMerge w:val="continue"/>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1071"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满意度指标     （5分）</w:t>
            </w:r>
          </w:p>
        </w:tc>
        <w:tc>
          <w:tcPr>
            <w:tcW w:w="1389"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服务对象满意度指标  （5分）</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信访群众满意度</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80%</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80%</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r>
    </w:tbl>
    <w:p>
      <w:pPr>
        <w:widowControl/>
        <w:numPr>
          <w:ilvl w:val="0"/>
          <w:numId w:val="0"/>
        </w:numPr>
        <w:spacing w:line="560" w:lineRule="exact"/>
        <w:ind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3.未完成的绩效目标</w:t>
      </w:r>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1071"/>
        <w:gridCol w:w="1389"/>
        <w:gridCol w:w="1770"/>
        <w:gridCol w:w="1320"/>
        <w:gridCol w:w="1305"/>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blHeader/>
          <w:jc w:val="center"/>
        </w:trPr>
        <w:tc>
          <w:tcPr>
            <w:tcW w:w="1051" w:type="dxa"/>
            <w:vAlign w:val="center"/>
          </w:tcPr>
          <w:p>
            <w:pPr>
              <w:widowControl/>
              <w:jc w:val="center"/>
              <w:rPr>
                <w:rFonts w:ascii="仿宋" w:hAnsi="仿宋" w:eastAsia="仿宋"/>
                <w:b/>
                <w:bCs/>
                <w:color w:val="000000"/>
                <w:kern w:val="0"/>
                <w:szCs w:val="21"/>
              </w:rPr>
            </w:pPr>
            <w:r>
              <w:rPr>
                <w:rFonts w:hint="eastAsia" w:ascii="仿宋" w:hAnsi="仿宋" w:eastAsia="仿宋"/>
                <w:b/>
                <w:bCs/>
                <w:color w:val="000000"/>
                <w:kern w:val="0"/>
                <w:szCs w:val="21"/>
              </w:rPr>
              <w:t>目标</w:t>
            </w:r>
          </w:p>
        </w:tc>
        <w:tc>
          <w:tcPr>
            <w:tcW w:w="1071"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一级指标</w:t>
            </w:r>
          </w:p>
        </w:tc>
        <w:tc>
          <w:tcPr>
            <w:tcW w:w="1389"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二级指标</w:t>
            </w:r>
          </w:p>
        </w:tc>
        <w:tc>
          <w:tcPr>
            <w:tcW w:w="1770"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三级指标</w:t>
            </w:r>
          </w:p>
        </w:tc>
        <w:tc>
          <w:tcPr>
            <w:tcW w:w="1320"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年初目标值（A）</w:t>
            </w:r>
          </w:p>
        </w:tc>
        <w:tc>
          <w:tcPr>
            <w:tcW w:w="1305"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实际完成值（B）</w:t>
            </w:r>
          </w:p>
        </w:tc>
        <w:tc>
          <w:tcPr>
            <w:tcW w:w="672" w:type="dxa"/>
            <w:vAlign w:val="center"/>
          </w:tcPr>
          <w:p>
            <w:pPr>
              <w:widowControl/>
              <w:jc w:val="center"/>
              <w:rPr>
                <w:rFonts w:hint="eastAsia" w:ascii="仿宋" w:hAnsi="仿宋" w:eastAsia="仿宋"/>
                <w:b/>
                <w:bCs/>
                <w:color w:val="000000"/>
                <w:kern w:val="0"/>
                <w:szCs w:val="21"/>
              </w:rPr>
            </w:pPr>
            <w:r>
              <w:rPr>
                <w:rFonts w:hint="eastAsia" w:ascii="仿宋" w:hAnsi="仿宋" w:eastAsia="仿宋"/>
                <w:b/>
                <w:bCs/>
                <w:color w:val="000000"/>
                <w:kern w:val="0"/>
                <w:szCs w:val="21"/>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blHeader/>
          <w:jc w:val="center"/>
        </w:trPr>
        <w:tc>
          <w:tcPr>
            <w:tcW w:w="1051"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 xml:space="preserve">年度目标2：保发展 </w:t>
            </w:r>
          </w:p>
        </w:tc>
        <w:tc>
          <w:tcPr>
            <w:tcW w:w="1071"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产出指标</w:t>
            </w:r>
          </w:p>
        </w:tc>
        <w:tc>
          <w:tcPr>
            <w:tcW w:w="1389"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数量指标</w:t>
            </w:r>
          </w:p>
        </w:tc>
        <w:tc>
          <w:tcPr>
            <w:tcW w:w="17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规划编制项目</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个数（5分）</w:t>
            </w:r>
          </w:p>
        </w:tc>
        <w:tc>
          <w:tcPr>
            <w:tcW w:w="132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18个</w:t>
            </w:r>
          </w:p>
        </w:tc>
        <w:tc>
          <w:tcPr>
            <w:tcW w:w="1305"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12个</w:t>
            </w:r>
          </w:p>
        </w:tc>
        <w:tc>
          <w:tcPr>
            <w:tcW w:w="672"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3.33</w:t>
            </w:r>
          </w:p>
        </w:tc>
      </w:tr>
    </w:tbl>
    <w:p>
      <w:pPr>
        <w:pStyle w:val="20"/>
        <w:keepNext w:val="0"/>
        <w:keepLines w:val="0"/>
        <w:pageBreakBefore w:val="0"/>
        <w:widowControl w:val="0"/>
        <w:shd w:val="clear" w:color="auto" w:fill="auto"/>
        <w:kinsoku/>
        <w:wordWrap/>
        <w:overflowPunct/>
        <w:topLinePunct w:val="0"/>
        <w:autoSpaceDE/>
        <w:autoSpaceDN/>
        <w:bidi w:val="0"/>
        <w:adjustRightInd/>
        <w:spacing w:before="0" w:after="0" w:line="560" w:lineRule="exact"/>
        <w:ind w:left="0" w:leftChars="0" w:right="0" w:firstLine="640" w:firstLineChars="200"/>
        <w:jc w:val="both"/>
        <w:textAlignment w:val="auto"/>
        <w:rPr>
          <w:rFonts w:hint="eastAsia" w:ascii="楷体" w:hAnsi="楷体" w:eastAsia="楷体" w:cs="楷体"/>
          <w:color w:val="000000"/>
          <w:spacing w:val="0"/>
          <w:w w:val="100"/>
          <w:kern w:val="0"/>
          <w:position w:val="0"/>
          <w:sz w:val="32"/>
          <w:szCs w:val="32"/>
          <w:highlight w:val="none"/>
          <w:lang w:val="en-US" w:eastAsia="zh-CN"/>
        </w:rPr>
      </w:pPr>
      <w:r>
        <w:rPr>
          <w:rFonts w:hint="eastAsia" w:ascii="楷体" w:hAnsi="楷体" w:eastAsia="楷体" w:cs="楷体"/>
          <w:color w:val="000000"/>
          <w:spacing w:val="0"/>
          <w:w w:val="100"/>
          <w:kern w:val="0"/>
          <w:position w:val="0"/>
          <w:sz w:val="32"/>
          <w:szCs w:val="32"/>
          <w:highlight w:val="none"/>
          <w:lang w:val="en-US" w:eastAsia="zh-CN"/>
        </w:rPr>
        <w:t>（三）存在的问题和原因</w:t>
      </w:r>
    </w:p>
    <w:p>
      <w:pPr>
        <w:widowControl/>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1.本年度预算存在偏差，主要是以下几方面原因：</w:t>
      </w:r>
    </w:p>
    <w:p>
      <w:pPr>
        <w:widowControl/>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1.本年度预算存在偏差，主要是以下几方面原因：</w:t>
      </w:r>
    </w:p>
    <w:p>
      <w:pPr>
        <w:widowControl/>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 xml:space="preserve">①规划编制经费项目年初预算3,837.60万元，实际执行1,560.19万元，项目执行率40.66%，项目执行率较低，其原因为：一是预算项目责任主体、经费来源发生变化，导致项目预算资金无法执行，村庄规划项目根据2022年市级工作安排，确定由各街道办事处负责规划编制及其经费筹措、支付工作，预算算资金300.00万元无法执行；城市重点功能片区实施规划项目按照“成熟一片，改造一片”的开发模式，根据区土资委会会议精神，将该项目编制费用纳入到土地供应成本，编制费用从土地预算资金支付。二是因政策变化，武汉市和东西湖区需重新划定“三区三线”、新编市级与区级国土空间总体规划，全区控规修编工作缺乏上位规划支撑，导致东西湖区控制性详细规划评估及优化项目终止，预算支出减少323.81万元。三是因财政资金紧张，596.40万元应付项目资金未能支付。四是项目启动基础条件不完善或未达到，导致项目实施进度滞后或未能启动，预算资金578.75万元未能执行。                                                                         </w:t>
      </w:r>
    </w:p>
    <w:p>
      <w:pPr>
        <w:widowControl/>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 xml:space="preserve">②征地和拆迁补偿支出项目年初预算14,441.50万元，实际执行12,378.12万元，因税务系统改革，规费中有偿使用费未从单位支出，导致预算执行情况有差异。             </w:t>
      </w:r>
    </w:p>
    <w:p>
      <w:pPr>
        <w:widowControl/>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 xml:space="preserve">③土地利用综合管理工作经费项目，年初预算230.00万元，实际执行111.00万元，因2022年东西湖区城镇建设用地标定地价更新、用地基准地价更新技术服务费两个项目需跨年完成、跨年支付，按合同进度本年度只支付了项目首笔款项，导致项目执行率偏低。                                                                     </w:t>
      </w:r>
    </w:p>
    <w:p>
      <w:pPr>
        <w:widowControl/>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 xml:space="preserve">④林业工作经费项目，年初预算150.00万元，预算指标调减9.28万元，调减后预算金额为140.72万元，实际执行78.72万元，因区级林勘及病虫害防治相关项目资金由市级经费支出，且林勘类项目周期较长，需至2023年度项目才完成，导致区级预算资金使用率较低。                                                                            </w:t>
      </w:r>
    </w:p>
    <w:p>
      <w:pPr>
        <w:widowControl/>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⑤在线执法系统技术服务项目年初预算160.00万元，实际执行59.70万元，因我局2022年第17次党组会议研究决定，在线执法系统建设经费控制在60.00万元以内，导致预算执行情况有差异。</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2.</w:t>
      </w:r>
      <w:r>
        <w:rPr>
          <w:rFonts w:hint="eastAsia" w:ascii="仿宋" w:hAnsi="仿宋" w:eastAsia="仿宋" w:cs="仿宋"/>
          <w:color w:val="auto"/>
          <w:sz w:val="32"/>
          <w:szCs w:val="32"/>
          <w:highlight w:val="none"/>
          <w:lang w:val="en-US" w:eastAsia="zh-CN"/>
        </w:rPr>
        <w:t>预算编制不够科学、全面。本年开始实施需跨年完成、跨年支付的项目，编制预算时全额列支项目总额，未根据本年预计完成进度或工作量等测算本年需支出金额，影响预算准确性。</w:t>
      </w:r>
    </w:p>
    <w:p>
      <w:pPr>
        <w:widowControl/>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 xml:space="preserve"> 3.</w:t>
      </w:r>
      <w:r>
        <w:rPr>
          <w:rFonts w:hint="default" w:ascii="仿宋" w:hAnsi="仿宋" w:eastAsia="仿宋" w:cs="仿宋"/>
          <w:color w:val="auto"/>
          <w:spacing w:val="0"/>
          <w:w w:val="100"/>
          <w:kern w:val="0"/>
          <w:position w:val="0"/>
          <w:sz w:val="32"/>
          <w:szCs w:val="32"/>
          <w:highlight w:val="none"/>
          <w:u w:val="none"/>
          <w:shd w:val="clear" w:color="auto" w:fill="auto"/>
          <w:lang w:val="zh-TW" w:eastAsia="zh-TW" w:bidi="zh-TW"/>
        </w:rPr>
        <w:t>绩效</w:t>
      </w:r>
      <w:r>
        <w:rPr>
          <w:rFonts w:hint="eastAsia" w:ascii="仿宋" w:hAnsi="仿宋" w:eastAsia="仿宋" w:cs="仿宋"/>
          <w:color w:val="auto"/>
          <w:spacing w:val="0"/>
          <w:w w:val="100"/>
          <w:kern w:val="0"/>
          <w:position w:val="0"/>
          <w:sz w:val="32"/>
          <w:szCs w:val="32"/>
          <w:highlight w:val="none"/>
          <w:u w:val="none"/>
          <w:shd w:val="clear" w:color="auto" w:fill="auto"/>
          <w:lang w:val="zh-TW" w:eastAsia="zh-CN" w:bidi="zh-TW"/>
        </w:rPr>
        <w:t>指标设置不合理，</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如整体项目绩效指标中，</w:t>
      </w:r>
      <w:r>
        <w:rPr>
          <w:rFonts w:hint="eastAsia" w:ascii="仿宋" w:hAnsi="仿宋" w:eastAsia="仿宋" w:cs="仿宋"/>
          <w:color w:val="auto"/>
          <w:spacing w:val="0"/>
          <w:w w:val="100"/>
          <w:kern w:val="0"/>
          <w:position w:val="0"/>
          <w:sz w:val="32"/>
          <w:szCs w:val="32"/>
          <w:highlight w:val="none"/>
          <w:u w:val="none"/>
          <w:shd w:val="clear" w:color="auto" w:fill="auto"/>
          <w:lang w:val="zh-TW" w:eastAsia="zh-CN" w:bidi="zh-TW"/>
        </w:rPr>
        <w:t>部分年度目标未设置满意度指标；部分绩效目标值设置不合理，例如数量指标建设用地年度获批总量</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100%（可以将目标值改为具体面积，或者将指标设为“建设用地年度获批率”，指标值设为“100%”）。</w:t>
      </w:r>
    </w:p>
    <w:p>
      <w:pPr>
        <w:pStyle w:val="20"/>
        <w:keepNext w:val="0"/>
        <w:keepLines w:val="0"/>
        <w:pageBreakBefore w:val="0"/>
        <w:widowControl w:val="0"/>
        <w:shd w:val="clear" w:color="auto" w:fill="auto"/>
        <w:kinsoku/>
        <w:wordWrap/>
        <w:overflowPunct/>
        <w:topLinePunct w:val="0"/>
        <w:autoSpaceDE/>
        <w:autoSpaceDN/>
        <w:bidi w:val="0"/>
        <w:adjustRightInd/>
        <w:spacing w:before="0" w:after="0" w:line="560" w:lineRule="exact"/>
        <w:ind w:left="0" w:leftChars="0" w:right="0" w:firstLine="640" w:firstLineChars="200"/>
        <w:jc w:val="both"/>
        <w:textAlignment w:val="auto"/>
        <w:rPr>
          <w:rFonts w:hint="eastAsia" w:ascii="楷体" w:hAnsi="楷体" w:eastAsia="楷体" w:cs="楷体"/>
          <w:color w:val="000000"/>
          <w:spacing w:val="0"/>
          <w:w w:val="100"/>
          <w:kern w:val="0"/>
          <w:position w:val="0"/>
          <w:sz w:val="32"/>
          <w:szCs w:val="32"/>
          <w:highlight w:val="none"/>
          <w:lang w:val="en-US" w:eastAsia="zh-CN"/>
        </w:rPr>
      </w:pPr>
      <w:r>
        <w:rPr>
          <w:rFonts w:hint="eastAsia" w:ascii="楷体" w:hAnsi="楷体" w:eastAsia="楷体" w:cs="楷体"/>
          <w:color w:val="000000"/>
          <w:spacing w:val="0"/>
          <w:w w:val="100"/>
          <w:kern w:val="0"/>
          <w:position w:val="0"/>
          <w:sz w:val="32"/>
          <w:szCs w:val="32"/>
          <w:highlight w:val="none"/>
          <w:lang w:val="en-US" w:eastAsia="zh-CN"/>
        </w:rPr>
        <w:t>（四）下一步拟改进措施</w:t>
      </w:r>
    </w:p>
    <w:p>
      <w:pPr>
        <w:pStyle w:val="20"/>
        <w:spacing w:line="560" w:lineRule="exact"/>
        <w:ind w:firstLine="640" w:firstLineChars="200"/>
        <w:jc w:val="both"/>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1.</w:t>
      </w:r>
      <w:r>
        <w:rPr>
          <w:rFonts w:hint="eastAsia" w:ascii="仿宋" w:hAnsi="仿宋" w:eastAsia="仿宋" w:cs="仿宋"/>
          <w:sz w:val="32"/>
          <w:szCs w:val="32"/>
          <w:highlight w:val="none"/>
          <w:lang w:val="zh-TW" w:eastAsia="zh-CN"/>
        </w:rPr>
        <w:t>年度预算执行中，根据实际情况，</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及时了解预算执行差异，</w:t>
      </w:r>
      <w:r>
        <w:rPr>
          <w:rFonts w:hint="eastAsia" w:ascii="仿宋" w:hAnsi="仿宋" w:eastAsia="仿宋" w:cs="仿宋"/>
          <w:sz w:val="32"/>
          <w:szCs w:val="32"/>
          <w:highlight w:val="none"/>
          <w:lang w:val="zh-TW" w:eastAsia="zh-CN"/>
        </w:rPr>
        <w:t>定期做好预算执行分析，掌握预算执行进度，</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合理调整、纠正预算执行偏差，切实提高部门预算收支管理水平。</w:t>
      </w:r>
    </w:p>
    <w:p>
      <w:pPr>
        <w:pStyle w:val="20"/>
        <w:spacing w:line="560" w:lineRule="exact"/>
        <w:ind w:firstLine="640" w:firstLineChars="200"/>
        <w:jc w:val="both"/>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2.科学编制预算资金，编制预算时多方位考虑测算依据，提高预算编制准确性。及时了解相关文件政策，加强与上级部门、业务关联部门的沟通，尽可能及时掌握政策、项目工作安排变化，以便预算安排时考虑跨年项目、政策或工作安排变化的影响，更合理、全面安排预算。</w:t>
      </w:r>
    </w:p>
    <w:p>
      <w:pPr>
        <w:numPr>
          <w:ilvl w:val="0"/>
          <w:numId w:val="0"/>
        </w:numPr>
        <w:ind w:firstLine="640" w:firstLineChars="200"/>
        <w:jc w:val="left"/>
        <w:rPr>
          <w:rFonts w:hint="default"/>
          <w:lang w:val="en-US" w:eastAsia="zh-CN"/>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3.</w:t>
      </w:r>
      <w:r>
        <w:rPr>
          <w:rFonts w:hint="eastAsia" w:ascii="仿宋" w:hAnsi="仿宋" w:eastAsia="仿宋" w:cs="仿宋"/>
          <w:kern w:val="2"/>
          <w:sz w:val="32"/>
          <w:szCs w:val="32"/>
          <w:highlight w:val="none"/>
          <w:u w:val="none"/>
          <w:shd w:val="clear" w:color="auto" w:fill="auto"/>
          <w:lang w:val="en-US" w:eastAsia="zh-CN" w:bidi="zh-TW"/>
        </w:rPr>
        <w:t>进一步优化和改善指标体系，更科学、全面的制定并细化绩效指标目标值</w:t>
      </w: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附件：2022年度武汉市东西湖区自然资源和规划局部门整体绩效自评表</w:t>
      </w:r>
    </w:p>
    <w:p>
      <w:pPr>
        <w:numPr>
          <w:ilvl w:val="0"/>
          <w:numId w:val="1"/>
        </w:numPr>
        <w:ind w:left="750" w:leftChars="0" w:firstLine="0" w:firstLineChars="0"/>
        <w:rPr>
          <w:rFonts w:hint="eastAsia" w:ascii="黑体" w:hAnsi="黑体" w:eastAsia="黑体" w:cs="黑体"/>
          <w:color w:val="000000"/>
          <w:spacing w:val="0"/>
          <w:w w:val="100"/>
          <w:kern w:val="0"/>
          <w:position w:val="0"/>
          <w:sz w:val="32"/>
          <w:szCs w:val="32"/>
          <w:highlight w:val="none"/>
          <w:u w:val="none"/>
          <w:shd w:val="clear" w:color="auto" w:fill="auto"/>
          <w:lang w:val="en-US" w:eastAsia="zh-CN" w:bidi="zh-TW"/>
        </w:rPr>
      </w:pPr>
      <w:r>
        <w:rPr>
          <w:rFonts w:hint="eastAsia" w:ascii="黑体" w:hAnsi="黑体" w:eastAsia="黑体" w:cs="黑体"/>
          <w:color w:val="000000"/>
          <w:spacing w:val="0"/>
          <w:w w:val="100"/>
          <w:kern w:val="0"/>
          <w:position w:val="0"/>
          <w:sz w:val="32"/>
          <w:szCs w:val="32"/>
          <w:highlight w:val="none"/>
          <w:u w:val="none"/>
          <w:shd w:val="clear" w:color="auto" w:fill="auto"/>
          <w:lang w:val="en-US" w:eastAsia="zh-CN" w:bidi="zh-TW"/>
        </w:rPr>
        <w:t>佐证材料</w:t>
      </w:r>
    </w:p>
    <w:p>
      <w:pPr>
        <w:pStyle w:val="20"/>
        <w:keepNext w:val="0"/>
        <w:keepLines w:val="0"/>
        <w:pageBreakBefore w:val="0"/>
        <w:widowControl w:val="0"/>
        <w:shd w:val="clear" w:color="auto" w:fill="auto"/>
        <w:kinsoku/>
        <w:wordWrap/>
        <w:overflowPunct/>
        <w:topLinePunct w:val="0"/>
        <w:autoSpaceDE/>
        <w:autoSpaceDN/>
        <w:bidi w:val="0"/>
        <w:adjustRightInd/>
        <w:spacing w:before="0" w:after="0" w:line="560" w:lineRule="exact"/>
        <w:ind w:left="0" w:right="0" w:firstLine="520"/>
        <w:jc w:val="both"/>
        <w:textAlignment w:val="auto"/>
        <w:rPr>
          <w:rFonts w:hint="eastAsia"/>
        </w:rPr>
      </w:pPr>
      <w:r>
        <w:rPr>
          <w:rFonts w:hint="eastAsia" w:ascii="楷体" w:hAnsi="楷体" w:eastAsia="楷体" w:cs="楷体"/>
          <w:color w:val="000000"/>
          <w:spacing w:val="0"/>
          <w:w w:val="100"/>
          <w:position w:val="0"/>
          <w:sz w:val="32"/>
          <w:szCs w:val="32"/>
          <w:highlight w:val="none"/>
          <w:lang w:val="en-US" w:eastAsia="zh-CN"/>
        </w:rPr>
        <w:t>（一)基本情况</w:t>
      </w:r>
    </w:p>
    <w:p>
      <w:pPr>
        <w:pStyle w:val="20"/>
        <w:keepNext w:val="0"/>
        <w:keepLines w:val="0"/>
        <w:pageBreakBefore w:val="0"/>
        <w:widowControl w:val="0"/>
        <w:shd w:val="clear" w:color="auto" w:fill="auto"/>
        <w:kinsoku/>
        <w:wordWrap/>
        <w:overflowPunct/>
        <w:topLinePunct w:val="0"/>
        <w:autoSpaceDE/>
        <w:autoSpaceDN/>
        <w:bidi w:val="0"/>
        <w:adjustRightInd/>
        <w:spacing w:before="0" w:after="0" w:line="560" w:lineRule="exact"/>
        <w:ind w:left="0" w:leftChars="0" w:right="0" w:firstLine="640" w:firstLineChars="200"/>
        <w:jc w:val="both"/>
        <w:textAlignment w:val="auto"/>
        <w:rPr>
          <w:rFonts w:hint="eastAsia" w:ascii="楷体" w:hAnsi="楷体" w:eastAsia="楷体" w:cs="楷体"/>
          <w:color w:val="000000"/>
          <w:spacing w:val="0"/>
          <w:w w:val="100"/>
          <w:kern w:val="0"/>
          <w:position w:val="0"/>
          <w:sz w:val="32"/>
          <w:szCs w:val="32"/>
          <w:lang w:val="en-US" w:eastAsia="zh-CN"/>
        </w:rPr>
      </w:pPr>
      <w:r>
        <w:rPr>
          <w:rFonts w:hint="eastAsia" w:ascii="楷体" w:hAnsi="楷体" w:eastAsia="楷体" w:cs="楷体"/>
          <w:color w:val="000000"/>
          <w:spacing w:val="0"/>
          <w:w w:val="100"/>
          <w:kern w:val="0"/>
          <w:position w:val="0"/>
          <w:sz w:val="32"/>
          <w:szCs w:val="32"/>
          <w:lang w:val="en-US" w:eastAsia="zh-CN"/>
        </w:rPr>
        <w:t>1.部门主要职能</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①贯彻执行国家、省、市关于城乡规划、国土资源、测绘勘察方面的法律、法规、规章和方针、政策；参与起草城乡规划、国土资源、测绘勘察有关规定，经批准后依法组织实施和监督检查。</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②负责组织城乡发展战略研究，提出统筹城乡规划和建设发展、促进“两型社会”建设的政策建议；负责组织国土资源可持续利用和土地资产经营战略研究，提出深化土地使用制度改革、统筹土地资产经营管理的政策建议；参与拟订国民经济和社会发展规划、区域经济发展规划等。</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③负责组织编制、修订和统筹协调城镇体系规划、城乡总体规划、国土规划、土地利用总体规划、地质环境保护规划、矿产资源保护利用规划、测绘勘察事业发展规划等，并组织报批、实施和监督检查。</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④负责组织编制、修订分区规划、详细规划和城市设计，综合协调历史文化名城保护、地下空间开发利用、风景名胜区、综合交通体系、市政公用设施等规划，指导编制乡镇、村庄规划；负责组织编制、修订土地开发整理复垦、基本农田保护、高产农田建设和中低产田改造等规划，指导编制区、场级土地利用规划；依法审查、审批以上各类规划，并组织实施和监督检查。</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⑤负责组织编制、修订近期建设规划和年度实施计划，拟订并组织实施全区土地利用及储备供应、矿产资源保护利用、规划编制、基础测绘等年度计划；参与拟订城市基础设施、园林绿化等年度建设计划；参与重大建设项目的前期研究工作。</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⑥负责耕地保护和土地用途管制工作。拟订实施耕地保护和鼓励耕地开发的措施；负责基本农田保护工作；负责组织未利用地开发、土地整理复垦、高产农田建设和中低产田改造工作；负责城乡建设用地增减挂钩管理工作。</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⑦负责规划选址定点和建设用地规划许可。依法高效办理各类建设工程（包括建筑物、构筑物、交通、市政及其它工程设施，下同）的建设项目选址意见书和建设用地规划许可证。</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⑧负责农用地转用和征收工作。负责各类建设工程的用地预审和下达农用地转用计划指标工作；组织农用地转用、土地征收报批工作；审核土地征收的补偿安置方案。</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⑨负责土地资产经营管理。负责国有土地使用权划拨和出让、转让及土地资产处置管理工作；组织拟订基准地价；负责土地有形市场建设和土地储备供应管理工作；对建设用地土地使用权流转进行监督管理；负责经营性国有土地使用权出让的招、拍、挂监管。</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⑩负责土地权属管理。负责土地权属确认、登记、核发证书工作；组织实施土地资源调查。</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⑪负责建设工程规划许可和规划验收管理，依法高效办理建设工程规划许可证和建设工程规划验收合格证；指导各街道、园区建设的规划管理工作。</w:t>
      </w:r>
    </w:p>
    <w:p>
      <w:pPr>
        <w:numPr>
          <w:ilvl w:val="0"/>
          <w:numId w:val="0"/>
        </w:numPr>
        <w:ind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⑫负责地质矿产资源管理。负责地质环境保护工作，管理地质勘察成果和地质资料，组织实施地质灾害评估防治、矿区环境治理和地质遗迹保护；负责探矿权、采矿权、矿产资源储量管理工作，监督管理矿产资源开发利用。</w:t>
      </w:r>
    </w:p>
    <w:p>
      <w:pPr>
        <w:numPr>
          <w:ilvl w:val="0"/>
          <w:numId w:val="0"/>
        </w:numPr>
        <w:ind w:leftChars="0"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⑬负责测绘勘察管理。负责测绘项目登记，管理测绘市场、地理信息市场和测绘成果；负责测量标志的使用核准和保护工作，监管地图的编制、出版、展示及登载；组织开展规划勘察、基础测绘和其它重大测绘工作；负责基础测绘成果的提供和使用审批。</w:t>
      </w:r>
    </w:p>
    <w:p>
      <w:pPr>
        <w:numPr>
          <w:ilvl w:val="0"/>
          <w:numId w:val="0"/>
        </w:numPr>
        <w:ind w:leftChars="0"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⑭承担国土资源和城乡规划督察日常工作。拟订国土资源和城乡规划督察工作的具体办法和管理制度，并组织实施；对国土资源、城乡规划的审批、实施和执法情况进行监督检查。</w:t>
      </w:r>
    </w:p>
    <w:p>
      <w:pPr>
        <w:numPr>
          <w:ilvl w:val="0"/>
          <w:numId w:val="0"/>
        </w:numPr>
        <w:ind w:leftChars="0"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⑮负责建设工程规划批后执法管理，查处建设工程核位放线至规划验收前未按建设工程规划许可证规定建设的违法建设行为，会同城管部门查处其它违法建设行为；负责国土资源、测绘勘察执法监察，依法查处有关违法违规行为。</w:t>
      </w:r>
    </w:p>
    <w:p>
      <w:pPr>
        <w:numPr>
          <w:ilvl w:val="0"/>
          <w:numId w:val="0"/>
        </w:numPr>
        <w:ind w:leftChars="0"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⑯负责全区基础地理信息的收集整理、系统建设及开发利用；负责城乡规划、国土资源、测绘勘察方面的信息化建设、新技术推广运用和行业资质管理工作；负责规划展示工作。</w:t>
      </w:r>
    </w:p>
    <w:p>
      <w:pPr>
        <w:numPr>
          <w:ilvl w:val="0"/>
          <w:numId w:val="0"/>
        </w:numPr>
        <w:ind w:leftChars="0"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⑰负责全区范围内各类管网建设期的选址和监督管理。指导编制城乡给排水、燃气、热力、电力、通信、消防、交通信号设施等管网建设专项规划，编制综合管线年度建设计划并下达实施。</w:t>
      </w:r>
    </w:p>
    <w:p>
      <w:pPr>
        <w:numPr>
          <w:ilvl w:val="0"/>
          <w:numId w:val="0"/>
        </w:numPr>
        <w:ind w:leftChars="0"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⑱负责国土资源和规划方面的行政复议和应诉工作；负责局系统行政执法责任制等依法行政相关工作；负责政务公开、信访相关工作。</w:t>
      </w:r>
    </w:p>
    <w:p>
      <w:pPr>
        <w:numPr>
          <w:ilvl w:val="0"/>
          <w:numId w:val="0"/>
        </w:numPr>
        <w:ind w:leftChars="0"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⑲负责局系统绩效目标、机构编制、组织人事、宣传教育、财务审计、综合统计、档案管理等工作；依据有关法律、法规和规定收取、代收有关费用。</w:t>
      </w:r>
    </w:p>
    <w:p>
      <w:pPr>
        <w:numPr>
          <w:ilvl w:val="0"/>
          <w:numId w:val="0"/>
        </w:numPr>
        <w:ind w:leftChars="0" w:firstLine="640" w:firstLineChars="200"/>
        <w:jc w:val="left"/>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auto"/>
          <w:spacing w:val="0"/>
          <w:w w:val="100"/>
          <w:kern w:val="0"/>
          <w:position w:val="0"/>
          <w:sz w:val="32"/>
          <w:szCs w:val="32"/>
          <w:highlight w:val="none"/>
          <w:u w:val="none"/>
          <w:shd w:val="clear" w:color="auto" w:fill="auto"/>
          <w:lang w:val="en-US" w:eastAsia="zh-CN" w:bidi="zh-TW"/>
        </w:rPr>
        <w:t>⑳承担区规划委员会、区土地资产管理委员会的日常工作。接受市下放和委托审批事项办理业务。承办上级交办的其它工作。</w:t>
      </w:r>
    </w:p>
    <w:p>
      <w:pPr>
        <w:numPr>
          <w:ilvl w:val="0"/>
          <w:numId w:val="2"/>
        </w:numPr>
        <w:ind w:leftChars="0" w:firstLine="640" w:firstLineChars="200"/>
        <w:jc w:val="left"/>
        <w:rPr>
          <w:rFonts w:ascii="宋体" w:hAnsi="宋体" w:eastAsia="宋体" w:cs="宋体"/>
          <w:sz w:val="32"/>
          <w:szCs w:val="32"/>
        </w:rPr>
      </w:pPr>
      <w:r>
        <w:rPr>
          <w:rFonts w:ascii="宋体" w:hAnsi="宋体" w:eastAsia="宋体" w:cs="宋体"/>
          <w:sz w:val="32"/>
          <w:szCs w:val="32"/>
        </w:rPr>
        <w:t>部门预算单位构成情况</w:t>
      </w:r>
      <w:r>
        <w:rPr>
          <w:rFonts w:ascii="宋体" w:hAnsi="宋体" w:eastAsia="宋体" w:cs="宋体"/>
          <w:sz w:val="32"/>
          <w:szCs w:val="32"/>
        </w:rPr>
        <w:br w:type="textWrapping"/>
      </w:r>
      <w:r>
        <w:rPr>
          <w:rFonts w:hint="eastAsia" w:ascii="宋体" w:hAnsi="宋体" w:eastAsia="宋体" w:cs="宋体"/>
          <w:sz w:val="32"/>
          <w:szCs w:val="32"/>
          <w:lang w:val="en-US" w:eastAsia="zh-CN"/>
        </w:rPr>
        <w:t xml:space="preserve">    </w:t>
      </w:r>
      <w:r>
        <w:rPr>
          <w:rFonts w:ascii="宋体" w:hAnsi="宋体" w:eastAsia="宋体" w:cs="宋体"/>
          <w:sz w:val="32"/>
          <w:szCs w:val="32"/>
        </w:rPr>
        <w:t>内设机构及科级领导职数情况：机关内设科室4个，所属二级事业单位13个，科级领导职数32个。</w:t>
      </w:r>
      <w:r>
        <w:rPr>
          <w:rFonts w:ascii="宋体" w:hAnsi="宋体" w:eastAsia="宋体" w:cs="宋体"/>
          <w:sz w:val="32"/>
          <w:szCs w:val="32"/>
        </w:rPr>
        <w:br w:type="textWrapping"/>
      </w:r>
      <w:r>
        <w:rPr>
          <w:rFonts w:hint="eastAsia" w:ascii="宋体" w:hAnsi="宋体" w:eastAsia="宋体" w:cs="宋体"/>
          <w:sz w:val="32"/>
          <w:szCs w:val="32"/>
          <w:lang w:val="en-US" w:eastAsia="zh-CN"/>
        </w:rPr>
        <w:t xml:space="preserve">    </w:t>
      </w:r>
      <w:r>
        <w:rPr>
          <w:rFonts w:ascii="宋体" w:hAnsi="宋体" w:eastAsia="宋体" w:cs="宋体"/>
          <w:sz w:val="32"/>
          <w:szCs w:val="32"/>
        </w:rPr>
        <w:t>3.</w:t>
      </w:r>
      <w:r>
        <w:rPr>
          <w:rFonts w:hint="eastAsia" w:ascii="宋体" w:hAnsi="宋体" w:eastAsia="宋体" w:cs="宋体"/>
          <w:sz w:val="32"/>
          <w:szCs w:val="32"/>
          <w:lang w:val="en-US" w:eastAsia="zh-CN"/>
        </w:rPr>
        <w:t xml:space="preserve">  </w:t>
      </w:r>
      <w:r>
        <w:rPr>
          <w:rFonts w:ascii="宋体" w:hAnsi="宋体" w:eastAsia="宋体" w:cs="宋体"/>
          <w:sz w:val="32"/>
          <w:szCs w:val="32"/>
        </w:rPr>
        <w:t>人员情况</w:t>
      </w:r>
      <w:r>
        <w:rPr>
          <w:rFonts w:ascii="宋体" w:hAnsi="宋体" w:eastAsia="宋体" w:cs="宋体"/>
          <w:sz w:val="32"/>
          <w:szCs w:val="32"/>
        </w:rPr>
        <w:br w:type="textWrapping"/>
      </w:r>
      <w:r>
        <w:rPr>
          <w:rFonts w:hint="eastAsia" w:ascii="宋体" w:hAnsi="宋体" w:eastAsia="宋体" w:cs="宋体"/>
          <w:sz w:val="32"/>
          <w:szCs w:val="32"/>
          <w:lang w:val="en-US" w:eastAsia="zh-CN"/>
        </w:rPr>
        <w:t xml:space="preserve">    </w:t>
      </w:r>
      <w:r>
        <w:rPr>
          <w:rFonts w:ascii="宋体" w:hAnsi="宋体" w:eastAsia="宋体" w:cs="宋体"/>
          <w:sz w:val="32"/>
          <w:szCs w:val="32"/>
        </w:rPr>
        <w:t>武汉市东西湖区自然资源和规划局共有编制 87个，其中：行政编制12个，事业编制69个，员额编制6个。在职实有人数 73人，其中：行政编制10人，事业编制60人（其中参照公务员法管理2人），员额编制3人。离退休人员24人，其中：离休0人，退休24人。</w:t>
      </w:r>
    </w:p>
    <w:p>
      <w:pPr>
        <w:numPr>
          <w:numId w:val="0"/>
        </w:numPr>
        <w:ind w:left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（二）部门自评工作开</w:t>
      </w:r>
      <w:bookmarkStart w:id="1" w:name="_GoBack"/>
      <w:bookmarkEnd w:id="1"/>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展情况</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1.制订工作方案。自评工作方案呈单位主要负责同志审核，根据单位主要负责同志要求启动部门自评工作。部门自评工作方案由单位研究制订，主要内容包括评价对象、组织方式、评价方法、调查问卷设计、具体样本确定、评价人员组成、实施时间安排等内容。</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2.组织实施自评。通过案卷研究、调研访谈、问卷调查等方式收集、核实数据和信息，并对这些数据和信息进行整理分析。重点项目的自评由项目责任部门与聘请的第三方机构共同实施，一般项目由项目责任部门自行实施完成。</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3.撰写部门自评结果。在整理分析基础上，形成部门自评结果。</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4.建立部门自评档案。与绩效自评相关的业务资料由秘书科归集存档，保管期限依据单位档案管理制度确定。</w:t>
      </w:r>
    </w:p>
    <w:p>
      <w:pPr>
        <w:numPr>
          <w:ilvl w:val="0"/>
          <w:numId w:val="0"/>
        </w:numPr>
        <w:ind w:leftChars="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（三）绩效目标完成情况分析</w:t>
      </w:r>
    </w:p>
    <w:p>
      <w:pPr>
        <w:numPr>
          <w:ilvl w:val="0"/>
          <w:numId w:val="0"/>
        </w:numPr>
        <w:ind w:leftChars="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1.预算执行情况分析</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2022年度武汉市东西湖区自然资源和规划局整体预算支出61,908.37万元，收入来源系财政预算拨款和其他收入。决算支出总额54，914.22万元，其中:基本支出总额2,121.79万元，项目支出总额52,792.43万元。</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2022年度预算执行情况基准分值为20.00分，得分17.74分，得分率为88.70%。</w:t>
      </w:r>
    </w:p>
    <w:p>
      <w:pPr>
        <w:keepNext w:val="0"/>
        <w:keepLines w:val="0"/>
        <w:pageBreakBefore w:val="0"/>
        <w:numPr>
          <w:ilvl w:val="0"/>
          <w:numId w:val="0"/>
        </w:numPr>
        <w:kinsoku/>
        <w:wordWrap/>
        <w:overflowPunct/>
        <w:topLinePunct w:val="0"/>
        <w:autoSpaceDE/>
        <w:autoSpaceDN/>
        <w:bidi w:val="0"/>
        <w:adjustRightInd/>
        <w:ind w:leftChars="0" w:firstLine="640" w:firstLineChars="200"/>
        <w:jc w:val="left"/>
        <w:textAlignment w:val="auto"/>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2.绩效目标完成情况分析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（1）指标完成情况分析</w:t>
      </w:r>
    </w:p>
    <w:p>
      <w:pPr>
        <w:widowControl/>
        <w:spacing w:line="560" w:lineRule="exact"/>
        <w:ind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年度绩效目标指标基准分值80分，得分78.33分，得分率为97.91%，具体情况如下：</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default"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①年度目标1：保民生，基准分值22分，得分22分，得</w:t>
      </w:r>
      <w:r>
        <w:rPr>
          <w:rFonts w:hint="eastAsia" w:ascii="仿宋" w:hAnsi="仿宋" w:eastAsia="仿宋" w:cs="仿宋"/>
          <w:color w:val="000000"/>
          <w:spacing w:val="0"/>
          <w:w w:val="100"/>
          <w:kern w:val="0"/>
          <w:position w:val="0"/>
          <w:sz w:val="32"/>
          <w:szCs w:val="32"/>
          <w:u w:val="none"/>
          <w:shd w:val="clear" w:color="auto" w:fill="auto"/>
          <w:lang w:val="en-US" w:eastAsia="zh-CN" w:bidi="zh-TW"/>
        </w:rPr>
        <w:t>分率为100%，具体情况如下：</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A.产出指标完成情况分析（18分）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a.数量指标：</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森林覆盖率（5分），年初目标值为较去年增长0.02%。</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2022年严抓林长制度建设，全面落实林长制度工作，对历年来破坏森林资源的违法行为进行查处和责令整改，2022年森林覆盖率较去年增长超0.02%，该指标得分为5分。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不动产登记服务进社区（5分），年初目标值为每月一次。</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2022年不动产登记持续创新，构建“自主申报+信用承诺”登记体系，开展不动产服务进社区工作，2022年完成每月一次不动产登记进社区服务指标，该指标得分为5分。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b.时效指标：人大政协提案办复率（4分），年初目标值为100%。实际2022年人大政协提案均在规定时限内办结，该指标得分为4分。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c.成本指标：成本控制率（4分），年初目标为控制在预算范围内。实际2022年项目成本控制率控制在预算范围内，该指标得分为4分。</w:t>
      </w:r>
    </w:p>
    <w:p>
      <w:pPr>
        <w:pStyle w:val="13"/>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default"/>
          <w:lang w:val="en-US" w:eastAsia="zh-CN"/>
        </w:rPr>
      </w:pPr>
      <w:r>
        <w:rPr>
          <w:rFonts w:hint="eastAsia" w:eastAsia="仿宋" w:cs="仿宋"/>
          <w:color w:val="000000"/>
          <w:spacing w:val="0"/>
          <w:w w:val="100"/>
          <w:kern w:val="0"/>
          <w:position w:val="0"/>
          <w:sz w:val="32"/>
          <w:szCs w:val="32"/>
          <w:u w:val="none"/>
          <w:shd w:val="clear" w:color="auto" w:fill="auto"/>
          <w:lang w:val="en-US" w:eastAsia="zh-CN" w:bidi="zh-TW"/>
        </w:rPr>
        <w:t>B.效益指标完成情况分析（4分）</w:t>
      </w:r>
    </w:p>
    <w:p>
      <w:pPr>
        <w:pStyle w:val="13"/>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社会效益指标：保障耕地安全（4分），年初目标为保</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障耕地安全。</w:t>
      </w:r>
      <w:r>
        <w:rPr>
          <w:rFonts w:hint="eastAsia" w:eastAsia="仿宋" w:cs="仿宋"/>
          <w:color w:val="000000"/>
          <w:spacing w:val="0"/>
          <w:w w:val="100"/>
          <w:kern w:val="0"/>
          <w:position w:val="0"/>
          <w:sz w:val="32"/>
          <w:szCs w:val="32"/>
          <w:highlight w:val="none"/>
          <w:u w:val="none"/>
          <w:shd w:val="clear" w:color="auto" w:fill="auto"/>
          <w:lang w:val="en-US" w:eastAsia="zh-CN" w:bidi="zh-TW"/>
        </w:rPr>
        <w:t>2022年严守耕地保护红线，全面推进2021年耕地保护督察问题的整改，完成4个违法占用耕地绿化造林问题及多处耕地“非农化”、基本农田“非粮化”问题的整改恢复，违法用地占耕比例低于5%，2022年</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耕地面积不低于市红线，完成保障耕地安全指标，该指标得分为4分。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default" w:ascii="仿宋" w:hAnsi="仿宋" w:eastAsia="仿宋" w:cs="仿宋"/>
          <w:color w:val="000000"/>
          <w:spacing w:val="0"/>
          <w:w w:val="100"/>
          <w:kern w:val="0"/>
          <w:position w:val="0"/>
          <w:sz w:val="32"/>
          <w:szCs w:val="32"/>
          <w:u w:val="none"/>
          <w:shd w:val="clear" w:color="auto" w:fill="auto"/>
          <w:lang w:val="en-US" w:eastAsia="zh-CN" w:bidi="zh-TW"/>
        </w:rPr>
        <w:t>②</w:t>
      </w:r>
      <w:r>
        <w:rPr>
          <w:rFonts w:hint="eastAsia" w:ascii="仿宋" w:hAnsi="仿宋" w:eastAsia="仿宋" w:cs="仿宋"/>
          <w:color w:val="000000"/>
          <w:spacing w:val="0"/>
          <w:w w:val="100"/>
          <w:kern w:val="0"/>
          <w:position w:val="0"/>
          <w:sz w:val="32"/>
          <w:szCs w:val="32"/>
          <w:u w:val="none"/>
          <w:shd w:val="clear" w:color="auto" w:fill="auto"/>
          <w:lang w:val="en-US" w:eastAsia="zh-CN" w:bidi="zh-TW"/>
        </w:rPr>
        <w:t>年度目标2：保发展，基准分值28分，得分26.33分，得分率为94.04%，具体情况如下：</w:t>
      </w:r>
    </w:p>
    <w:p>
      <w:pPr>
        <w:pStyle w:val="13"/>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default"/>
          <w:lang w:val="en-US" w:eastAsia="zh-CN"/>
        </w:rPr>
      </w:pPr>
      <w:r>
        <w:rPr>
          <w:rFonts w:hint="eastAsia" w:eastAsia="仿宋" w:cs="仿宋"/>
          <w:color w:val="000000"/>
          <w:spacing w:val="0"/>
          <w:w w:val="100"/>
          <w:kern w:val="0"/>
          <w:position w:val="0"/>
          <w:sz w:val="32"/>
          <w:szCs w:val="32"/>
          <w:u w:val="none"/>
          <w:shd w:val="clear" w:color="auto" w:fill="auto"/>
          <w:lang w:val="en-US" w:eastAsia="zh-CN" w:bidi="zh-TW"/>
        </w:rPr>
        <w:t>A.产出指标完成情况分析（24分）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default"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a.数量指标：</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规划编制项目个数（5分），年初目标值为18个。2022年</w:t>
      </w:r>
      <w:r>
        <w:rPr>
          <w:rFonts w:hint="eastAsia" w:ascii="仿宋" w:hAnsi="仿宋" w:eastAsia="仿宋" w:cs="仿宋"/>
          <w:color w:val="000000"/>
          <w:spacing w:val="0"/>
          <w:w w:val="100"/>
          <w:kern w:val="0"/>
          <w:position w:val="0"/>
          <w:sz w:val="32"/>
          <w:szCs w:val="32"/>
          <w:u w:val="none"/>
          <w:shd w:val="clear" w:color="auto" w:fill="auto"/>
          <w:lang w:val="en-US" w:eastAsia="zh-CN" w:bidi="zh-TW"/>
        </w:rPr>
        <w:t>实际按计划完成规划编</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制12个，</w:t>
      </w:r>
      <w:r>
        <w:rPr>
          <w:rFonts w:hint="eastAsia" w:ascii="仿宋" w:hAnsi="仿宋" w:eastAsia="仿宋" w:cs="仿宋"/>
          <w:color w:val="000000"/>
          <w:spacing w:val="0"/>
          <w:w w:val="100"/>
          <w:kern w:val="0"/>
          <w:position w:val="0"/>
          <w:sz w:val="32"/>
          <w:szCs w:val="32"/>
          <w:u w:val="none"/>
          <w:shd w:val="clear" w:color="auto" w:fill="auto"/>
          <w:lang w:val="en-US" w:eastAsia="zh-CN" w:bidi="zh-TW"/>
        </w:rPr>
        <w:t>该指标得分为3.33分。</w:t>
      </w:r>
    </w:p>
    <w:p>
      <w:pPr>
        <w:numPr>
          <w:ilvl w:val="0"/>
          <w:numId w:val="0"/>
        </w:numPr>
        <w:ind w:leftChars="0"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建设用地年度获批总量（5分），年初目标值为100%。2022年完成上级下达我区年度用地计划，建设用地年度获批量为100%，该指标得分为5分。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建设工程规划许可证的审核办理（5分），年初目标值为</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100%。2022年及时审核建设工程规划许可申请，按规及时核发建设工程规划许可证，审核办理率100%，该指标得分为5分。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审批档案电子化率（5分），年初目标值为90%。2022年库藏档案目录录入、全文扫描</w:t>
      </w:r>
      <w:r>
        <w:rPr>
          <w:rFonts w:hint="eastAsia" w:ascii="宋体" w:hAnsi="宋体" w:eastAsia="宋体" w:cs="宋体"/>
          <w:color w:val="000000"/>
          <w:spacing w:val="0"/>
          <w:w w:val="100"/>
          <w:kern w:val="0"/>
          <w:position w:val="0"/>
          <w:sz w:val="32"/>
          <w:szCs w:val="32"/>
          <w:highlight w:val="none"/>
          <w:u w:val="none"/>
          <w:shd w:val="clear" w:color="auto" w:fill="auto"/>
          <w:lang w:val="en-US" w:eastAsia="zh-CN" w:bidi="zh-TW"/>
        </w:rPr>
        <w:t>&gt;</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90%，该指标得分为5分。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b.成本指标：成本控制率（4分），年初目标为控制在预算内。实际2022年项目成本控制率控制在预算范围内，该指标得分为4分。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default"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B.效益指标完成情况分析（4分）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经济效益指标：土地出让金的征收（4分），2022年土地出让收入预算为55亿元，</w:t>
      </w:r>
      <w:r>
        <w:rPr>
          <w:rFonts w:hint="eastAsia" w:ascii="仿宋" w:hAnsi="仿宋" w:eastAsia="仿宋" w:cs="仿宋"/>
          <w:color w:val="000000"/>
          <w:spacing w:val="0"/>
          <w:w w:val="100"/>
          <w:kern w:val="0"/>
          <w:position w:val="0"/>
          <w:sz w:val="32"/>
          <w:szCs w:val="32"/>
          <w:u w:val="none"/>
          <w:shd w:val="clear" w:color="auto" w:fill="auto"/>
          <w:lang w:val="en-US" w:eastAsia="zh-CN" w:bidi="zh-TW"/>
        </w:rPr>
        <w:t>2022年实际完成土地出让收入超预算，</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该指标得分为4分。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default" w:ascii="仿宋" w:hAnsi="仿宋" w:eastAsia="仿宋" w:cs="仿宋"/>
          <w:color w:val="000000"/>
          <w:spacing w:val="0"/>
          <w:w w:val="100"/>
          <w:kern w:val="0"/>
          <w:position w:val="0"/>
          <w:sz w:val="32"/>
          <w:szCs w:val="32"/>
          <w:highlight w:val="none"/>
          <w:u w:val="none"/>
          <w:shd w:val="clear" w:color="auto" w:fill="auto"/>
          <w:lang w:val="en-US" w:eastAsia="zh-CN" w:bidi="zh-TW"/>
        </w:rPr>
        <w:t>③</w:t>
      </w: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年度目标3：保权益，基准分值30分，得分30分，得分率为100%，具体情况如下：</w:t>
      </w:r>
    </w:p>
    <w:p>
      <w:pPr>
        <w:pStyle w:val="13"/>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default"/>
          <w:highlight w:val="none"/>
          <w:lang w:val="en-US" w:eastAsia="zh-CN"/>
        </w:rPr>
      </w:pPr>
      <w:r>
        <w:rPr>
          <w:rFonts w:hint="eastAsia" w:eastAsia="仿宋" w:cs="仿宋"/>
          <w:color w:val="000000"/>
          <w:spacing w:val="0"/>
          <w:w w:val="100"/>
          <w:kern w:val="0"/>
          <w:position w:val="0"/>
          <w:sz w:val="32"/>
          <w:szCs w:val="32"/>
          <w:highlight w:val="none"/>
          <w:u w:val="none"/>
          <w:shd w:val="clear" w:color="auto" w:fill="auto"/>
          <w:lang w:val="en-US" w:eastAsia="zh-CN" w:bidi="zh-TW"/>
        </w:rPr>
        <w:t>A.产出指标完成情况分析（15分）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a.数量指标：达到市信访局制发信访事项登记录入考核值（5分），年初目标值为95%。2022年按时处理市长专线11755件、阳光信访85件，信访事项按时办结率为100%，该指标得分为5分。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b.质量指标：地质环境监测项目合格率（5分），年初目标位通过验收。地质环境监测项目完成后，2022年通过组织专家验收，合格率100%，该指标得分为5分。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c.成本指标：成本控制率（5分），年初目标为控制在预算内。实际2022年项目成本控制率控制在预算范围内，该指标得分为5分。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default"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B.效益指标完成情况分析（10分）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a.社会效益指标：对外服务水平（5分），年初目标为考核排名保持前列。2022年度省自然资源厅第四季度优化营商环境第三方评估，东西湖区排序14（在武汉市参评6个区中为第2）；2022年工改工作东西湖区全市排序在前3之列。对外服务水平考核排名保持前列，该指标得分为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b.可持续影响指标：提高群众防灾减灾意识（5分），年初目标值为95%。2022年通过地质灾害隐患排查工作、防治宣传活动、发放防灾减灾支持宣传手册等，提高群众防灾减灾意识达到95%，该指标得分为5分。</w:t>
      </w:r>
    </w:p>
    <w:p>
      <w:pPr>
        <w:pStyle w:val="13"/>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default"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eastAsia="仿宋" w:cs="仿宋"/>
          <w:color w:val="000000"/>
          <w:spacing w:val="0"/>
          <w:w w:val="100"/>
          <w:kern w:val="0"/>
          <w:position w:val="0"/>
          <w:sz w:val="32"/>
          <w:szCs w:val="32"/>
          <w:highlight w:val="none"/>
          <w:u w:val="none"/>
          <w:shd w:val="clear" w:color="auto" w:fill="auto"/>
          <w:lang w:val="en-US" w:eastAsia="zh-CN" w:bidi="zh-TW"/>
        </w:rPr>
        <w:t>C.满意度指标完成情况分析（5分）</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信访群众满意度（5分），年初目标值为80%，2022年实际信访群众满意度高于80%，该指标得分为5分。</w:t>
      </w:r>
    </w:p>
    <w:p>
      <w:pPr>
        <w:numPr>
          <w:ilvl w:val="0"/>
          <w:numId w:val="0"/>
        </w:numPr>
        <w:ind w:leftChars="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（四）上年度部门整体部门自评结果应用情况</w:t>
      </w:r>
    </w:p>
    <w:p>
      <w:pPr>
        <w:numPr>
          <w:ilvl w:val="0"/>
          <w:numId w:val="0"/>
        </w:numPr>
        <w:ind w:leftChars="0" w:firstLine="640" w:firstLineChars="200"/>
        <w:jc w:val="left"/>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color w:val="000000"/>
          <w:spacing w:val="0"/>
          <w:w w:val="100"/>
          <w:kern w:val="0"/>
          <w:position w:val="0"/>
          <w:sz w:val="32"/>
          <w:szCs w:val="32"/>
          <w:highlight w:val="none"/>
          <w:u w:val="none"/>
          <w:shd w:val="clear" w:color="auto" w:fill="auto"/>
          <w:lang w:val="en-US" w:eastAsia="zh-CN" w:bidi="zh-TW"/>
        </w:rPr>
        <w:t xml:space="preserve">2021年度武汉市东西湖区自然资源和规划局整体预算支出147,125.86万元，收入来源系财政预算拨款和其他收入。决算支出总额134,250.89万元，其中基本支出总额2,823.95万元，项目支出总额131,426.94万元，预算执行率为91.25%。    </w:t>
      </w:r>
    </w:p>
    <w:p>
      <w:pPr>
        <w:numPr>
          <w:ilvl w:val="0"/>
          <w:numId w:val="0"/>
        </w:numPr>
        <w:ind w:leftChars="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仿宋" w:hAnsi="仿宋" w:eastAsia="仿宋" w:cs="仿宋"/>
          <w:sz w:val="32"/>
          <w:szCs w:val="32"/>
          <w:lang w:val="en-US" w:eastAsia="zh-CN"/>
        </w:rPr>
        <w:t>将绩效自评结果与项目预算安排挂钩，本年度预算参照上年预算绩效评价结果，结合本年实际情况，进行预算安排。</w:t>
      </w:r>
    </w:p>
    <w:p>
      <w:pPr>
        <w:numPr>
          <w:ilvl w:val="0"/>
          <w:numId w:val="0"/>
        </w:numPr>
        <w:ind w:leftChars="0" w:firstLine="640" w:firstLineChars="200"/>
        <w:jc w:val="left"/>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pPr>
      <w:r>
        <w:rPr>
          <w:rFonts w:hint="eastAsia" w:ascii="楷体" w:hAnsi="楷体" w:eastAsia="楷体" w:cs="楷体"/>
          <w:color w:val="000000"/>
          <w:spacing w:val="0"/>
          <w:w w:val="100"/>
          <w:kern w:val="0"/>
          <w:position w:val="0"/>
          <w:sz w:val="32"/>
          <w:szCs w:val="32"/>
          <w:highlight w:val="none"/>
          <w:u w:val="none"/>
          <w:shd w:val="clear" w:color="auto" w:fill="auto"/>
          <w:lang w:val="en-US" w:eastAsia="zh-CN" w:bidi="zh-TW"/>
        </w:rPr>
        <w:t>（五）其他佐证材料：无。</w:t>
      </w:r>
    </w:p>
    <w:p>
      <w:pPr>
        <w:pStyle w:val="11"/>
        <w:rPr>
          <w:rFonts w:hint="eastAsia" w:ascii="楷体" w:hAnsi="楷体" w:eastAsia="楷体" w:cs="楷体"/>
          <w:color w:val="000000"/>
          <w:spacing w:val="0"/>
          <w:w w:val="100"/>
          <w:kern w:val="0"/>
          <w:position w:val="0"/>
          <w:sz w:val="32"/>
          <w:szCs w:val="32"/>
          <w:u w:val="none"/>
          <w:shd w:val="clear" w:color="auto" w:fill="auto"/>
          <w:lang w:val="en-US" w:eastAsia="zh-CN" w:bidi="zh-TW"/>
        </w:rPr>
      </w:pPr>
    </w:p>
    <w:p>
      <w:pPr>
        <w:pStyle w:val="11"/>
        <w:rPr>
          <w:rFonts w:hint="eastAsia" w:ascii="楷体" w:hAnsi="楷体" w:eastAsia="楷体" w:cs="楷体"/>
          <w:color w:val="000000"/>
          <w:spacing w:val="0"/>
          <w:w w:val="100"/>
          <w:kern w:val="0"/>
          <w:position w:val="0"/>
          <w:sz w:val="32"/>
          <w:szCs w:val="32"/>
          <w:u w:val="none"/>
          <w:shd w:val="clear" w:color="auto" w:fill="auto"/>
          <w:lang w:val="en-US" w:eastAsia="zh-CN" w:bidi="zh-TW"/>
        </w:rPr>
      </w:pPr>
    </w:p>
    <w:p>
      <w:pPr>
        <w:numPr>
          <w:ilvl w:val="0"/>
          <w:numId w:val="0"/>
        </w:numPr>
        <w:ind w:firstLine="2560" w:firstLineChars="800"/>
        <w:jc w:val="right"/>
        <w:rPr>
          <w:rFonts w:hint="eastAsia" w:ascii="仿宋" w:hAnsi="仿宋" w:eastAsia="仿宋" w:cs="仿宋"/>
          <w:color w:val="000000"/>
          <w:spacing w:val="0"/>
          <w:w w:val="100"/>
          <w:kern w:val="0"/>
          <w:position w:val="0"/>
          <w:sz w:val="32"/>
          <w:szCs w:val="32"/>
          <w:u w:val="none"/>
          <w:shd w:val="clear" w:color="auto" w:fill="auto"/>
          <w:lang w:val="en-US" w:eastAsia="zh-CN" w:bidi="zh-TW"/>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武汉市东西湖区自然资源和规划局</w:t>
      </w:r>
    </w:p>
    <w:p>
      <w:pPr>
        <w:numPr>
          <w:ilvl w:val="0"/>
          <w:numId w:val="0"/>
        </w:numPr>
        <w:ind w:leftChars="0" w:firstLine="640" w:firstLineChars="200"/>
        <w:jc w:val="left"/>
        <w:rPr>
          <w:rFonts w:ascii="仿宋" w:hAnsi="仿宋" w:eastAsia="仿宋" w:cs="宋体"/>
          <w:sz w:val="32"/>
          <w:szCs w:val="32"/>
        </w:rPr>
      </w:pPr>
      <w:r>
        <w:rPr>
          <w:rFonts w:hint="eastAsia" w:ascii="仿宋" w:hAnsi="仿宋" w:eastAsia="仿宋" w:cs="仿宋"/>
          <w:color w:val="000000"/>
          <w:spacing w:val="0"/>
          <w:w w:val="100"/>
          <w:kern w:val="0"/>
          <w:position w:val="0"/>
          <w:sz w:val="32"/>
          <w:szCs w:val="32"/>
          <w:u w:val="none"/>
          <w:shd w:val="clear" w:color="auto" w:fill="auto"/>
          <w:lang w:val="en-US" w:eastAsia="zh-CN" w:bidi="zh-TW"/>
        </w:rPr>
        <w:t xml:space="preserve">                         2023年5月20日</w:t>
      </w:r>
    </w:p>
    <w:sectPr>
      <w:footerReference r:id="rId3" w:type="default"/>
      <w:pgSz w:w="11906" w:h="16838"/>
      <w:pgMar w:top="1440" w:right="1740" w:bottom="1440" w:left="17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宋体"/>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w:t>
    </w:r>
    <w:r>
      <w:fldChar w:fldCharType="begin"/>
    </w:r>
    <w:r>
      <w:instrText xml:space="preserve">PAGE   \* MERGEFORMAT</w:instrText>
    </w:r>
    <w:r>
      <w:fldChar w:fldCharType="separate"/>
    </w:r>
    <w:r>
      <w:rPr>
        <w:lang w:val="zh-CN"/>
      </w:rPr>
      <w:t>17</w:t>
    </w:r>
    <w:r>
      <w:fldChar w:fldCharType="end"/>
    </w:r>
    <w:r>
      <w:rPr>
        <w:rFonts w:hint="eastAsia"/>
      </w:rPr>
      <w:t>-</w: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8A59F3"/>
    <w:multiLevelType w:val="singleLevel"/>
    <w:tmpl w:val="9E8A59F3"/>
    <w:lvl w:ilvl="0" w:tentative="0">
      <w:start w:val="2"/>
      <w:numFmt w:val="chineseCounting"/>
      <w:suff w:val="nothing"/>
      <w:lvlText w:val="%1、"/>
      <w:lvlJc w:val="left"/>
      <w:pPr>
        <w:ind w:left="750" w:leftChars="0" w:firstLine="0" w:firstLineChars="0"/>
      </w:pPr>
      <w:rPr>
        <w:rFonts w:hint="eastAsia"/>
      </w:rPr>
    </w:lvl>
  </w:abstractNum>
  <w:abstractNum w:abstractNumId="1">
    <w:nsid w:val="F95D808B"/>
    <w:multiLevelType w:val="singleLevel"/>
    <w:tmpl w:val="F95D808B"/>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M5NWE4YzVkNzk4MzFjYjMwZmE1ZTdiNWE5Y2VkNWYifQ=="/>
  </w:docVars>
  <w:rsids>
    <w:rsidRoot w:val="00000000"/>
    <w:rsid w:val="02611A2B"/>
    <w:rsid w:val="02DC5F81"/>
    <w:rsid w:val="03373500"/>
    <w:rsid w:val="05631AA7"/>
    <w:rsid w:val="07F91461"/>
    <w:rsid w:val="0A2C74B1"/>
    <w:rsid w:val="18473456"/>
    <w:rsid w:val="1DE33EDB"/>
    <w:rsid w:val="26747E2C"/>
    <w:rsid w:val="2BA04455"/>
    <w:rsid w:val="345A5D9D"/>
    <w:rsid w:val="35204D3A"/>
    <w:rsid w:val="373A6104"/>
    <w:rsid w:val="38420616"/>
    <w:rsid w:val="3E753E87"/>
    <w:rsid w:val="41BA764A"/>
    <w:rsid w:val="43247792"/>
    <w:rsid w:val="43C20D21"/>
    <w:rsid w:val="44710E45"/>
    <w:rsid w:val="4BFB68A3"/>
    <w:rsid w:val="53D12320"/>
    <w:rsid w:val="53F6571D"/>
    <w:rsid w:val="57BE4FF4"/>
    <w:rsid w:val="5A002A23"/>
    <w:rsid w:val="5CDE618A"/>
    <w:rsid w:val="5EBC7A30"/>
    <w:rsid w:val="649C44F9"/>
    <w:rsid w:val="6CEF3F82"/>
    <w:rsid w:val="6F660BC5"/>
    <w:rsid w:val="73DF702B"/>
    <w:rsid w:val="7883412B"/>
    <w:rsid w:val="79E61504"/>
    <w:rsid w:val="7A706B03"/>
    <w:rsid w:val="7B8F594D"/>
    <w:rsid w:val="7DFF28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spacing w:before="0" w:after="120"/>
      <w:ind w:left="420" w:leftChars="200" w:right="0" w:firstLine="420" w:firstLineChars="200"/>
      <w:jc w:val="both"/>
    </w:pPr>
    <w:rPr>
      <w:rFonts w:ascii="Calibri" w:hAnsi="Calibri" w:eastAsia="宋体" w:cs="Times New Roman"/>
      <w:kern w:val="2"/>
      <w:sz w:val="21"/>
      <w:szCs w:val="24"/>
      <w:lang w:val="en-US" w:eastAsia="zh-CN" w:bidi="ar-SA"/>
    </w:rPr>
  </w:style>
  <w:style w:type="paragraph" w:styleId="3">
    <w:name w:val="Body Text Indent"/>
    <w:basedOn w:val="1"/>
    <w:qFormat/>
    <w:uiPriority w:val="0"/>
    <w:pPr>
      <w:widowControl w:val="0"/>
      <w:spacing w:before="0" w:after="120"/>
      <w:ind w:left="420" w:leftChars="200" w:right="0"/>
      <w:jc w:val="both"/>
    </w:pPr>
    <w:rPr>
      <w:rFonts w:ascii="Calibri" w:hAnsi="Calibri" w:eastAsia="宋体" w:cs="Times New Roman"/>
      <w:kern w:val="2"/>
      <w:sz w:val="21"/>
      <w:szCs w:val="24"/>
      <w:lang w:val="en-US" w:eastAsia="zh-CN" w:bidi="ar-SA"/>
    </w:rPr>
  </w:style>
  <w:style w:type="paragraph" w:styleId="4">
    <w:name w:val="Document Map"/>
    <w:basedOn w:val="1"/>
    <w:link w:val="21"/>
    <w:semiHidden/>
    <w:unhideWhenUsed/>
    <w:qFormat/>
    <w:uiPriority w:val="99"/>
    <w:rPr>
      <w:rFonts w:ascii="宋体"/>
      <w:sz w:val="18"/>
      <w:szCs w:val="18"/>
    </w:rPr>
  </w:style>
  <w:style w:type="paragraph" w:styleId="5">
    <w:name w:val="Balloon Text"/>
    <w:basedOn w:val="1"/>
    <w:link w:val="27"/>
    <w:semiHidden/>
    <w:unhideWhenUsed/>
    <w:qFormat/>
    <w:uiPriority w:val="99"/>
    <w:rPr>
      <w:sz w:val="18"/>
      <w:szCs w:val="18"/>
    </w:rPr>
  </w:style>
  <w:style w:type="paragraph" w:styleId="6">
    <w:name w:val="footer"/>
    <w:basedOn w:val="1"/>
    <w:link w:val="25"/>
    <w:unhideWhenUsed/>
    <w:qFormat/>
    <w:uiPriority w:val="99"/>
    <w:pPr>
      <w:tabs>
        <w:tab w:val="center" w:pos="4153"/>
        <w:tab w:val="right" w:pos="8306"/>
      </w:tabs>
      <w:snapToGrid w:val="0"/>
      <w:jc w:val="left"/>
    </w:pPr>
    <w:rPr>
      <w:sz w:val="18"/>
      <w:szCs w:val="18"/>
    </w:rPr>
  </w:style>
  <w:style w:type="paragraph" w:styleId="7">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1">
    <w:name w:val="Body Text First Indent 2"/>
    <w:basedOn w:val="12"/>
    <w:qFormat/>
    <w:uiPriority w:val="0"/>
    <w:rPr>
      <w:rFonts w:ascii="仿宋" w:hAnsi="仿宋" w:eastAsia="仿宋_GB2312"/>
      <w:sz w:val="28"/>
      <w:szCs w:val="24"/>
    </w:rPr>
  </w:style>
  <w:style w:type="paragraph" w:customStyle="1" w:styleId="12">
    <w:name w:val="Body Text Indent"/>
    <w:basedOn w:val="1"/>
    <w:qFormat/>
    <w:uiPriority w:val="0"/>
    <w:pPr>
      <w:spacing w:after="120"/>
      <w:ind w:left="420" w:leftChars="200"/>
    </w:pPr>
    <w:rPr>
      <w:rFonts w:ascii="仿宋" w:hAnsi="仿宋" w:eastAsia="仿宋_GB2312"/>
      <w:sz w:val="28"/>
      <w:szCs w:val="24"/>
    </w:rPr>
  </w:style>
  <w:style w:type="paragraph" w:customStyle="1" w:styleId="13">
    <w:name w:val="Body Text First Indent 21"/>
    <w:basedOn w:val="14"/>
    <w:qFormat/>
    <w:uiPriority w:val="0"/>
    <w:rPr>
      <w:rFonts w:ascii="仿宋" w:hAnsi="仿宋" w:eastAsia="仿宋_GB2312"/>
      <w:sz w:val="28"/>
      <w:szCs w:val="24"/>
    </w:rPr>
  </w:style>
  <w:style w:type="paragraph" w:customStyle="1" w:styleId="14">
    <w:name w:val="Body Text Indent1"/>
    <w:basedOn w:val="1"/>
    <w:qFormat/>
    <w:uiPriority w:val="0"/>
    <w:pPr>
      <w:spacing w:after="120"/>
      <w:ind w:left="420" w:leftChars="200"/>
    </w:pPr>
    <w:rPr>
      <w:rFonts w:ascii="仿宋" w:hAnsi="仿宋" w:eastAsia="仿宋_GB2312"/>
      <w:sz w:val="28"/>
      <w:szCs w:val="24"/>
    </w:rPr>
  </w:style>
  <w:style w:type="paragraph" w:customStyle="1" w:styleId="15">
    <w:name w:val="样式1"/>
    <w:basedOn w:val="1"/>
    <w:qFormat/>
    <w:uiPriority w:val="0"/>
    <w:pPr>
      <w:spacing w:beforeLines="50" w:afterLines="50" w:line="480" w:lineRule="exact"/>
      <w:ind w:firstLine="560" w:firstLineChars="200"/>
      <w:outlineLvl w:val="0"/>
    </w:pPr>
    <w:rPr>
      <w:rFonts w:ascii="黑体" w:hAnsi="黑体" w:eastAsia="黑体"/>
      <w:sz w:val="28"/>
      <w:szCs w:val="28"/>
    </w:rPr>
  </w:style>
  <w:style w:type="paragraph" w:customStyle="1" w:styleId="16">
    <w:name w:val="样式2"/>
    <w:basedOn w:val="1"/>
    <w:link w:val="22"/>
    <w:qFormat/>
    <w:uiPriority w:val="0"/>
    <w:pPr>
      <w:spacing w:beforeLines="50" w:afterLines="50" w:line="480" w:lineRule="exact"/>
      <w:ind w:firstLine="560" w:firstLineChars="200"/>
      <w:outlineLvl w:val="0"/>
    </w:pPr>
    <w:rPr>
      <w:rFonts w:ascii="楷体" w:hAnsi="楷体" w:eastAsia="楷体"/>
      <w:sz w:val="28"/>
      <w:szCs w:val="28"/>
    </w:rPr>
  </w:style>
  <w:style w:type="paragraph" w:customStyle="1" w:styleId="17">
    <w:name w:val="样式3"/>
    <w:basedOn w:val="1"/>
    <w:link w:val="23"/>
    <w:qFormat/>
    <w:uiPriority w:val="0"/>
    <w:pPr>
      <w:spacing w:before="50" w:afterLines="50" w:line="480" w:lineRule="exact"/>
      <w:ind w:firstLine="560" w:firstLineChars="200"/>
      <w:outlineLvl w:val="0"/>
    </w:pPr>
    <w:rPr>
      <w:rFonts w:ascii="仿宋" w:hAnsi="仿宋" w:eastAsia="仿宋"/>
      <w:sz w:val="28"/>
      <w:szCs w:val="28"/>
    </w:rPr>
  </w:style>
  <w:style w:type="paragraph" w:customStyle="1" w:styleId="18">
    <w:name w:val="List Paragraph"/>
    <w:basedOn w:val="1"/>
    <w:qFormat/>
    <w:uiPriority w:val="34"/>
    <w:pPr>
      <w:ind w:firstLine="420" w:firstLineChars="200"/>
    </w:pPr>
    <w:rPr>
      <w:rFonts w:ascii="Calibri" w:hAnsi="Calibri" w:eastAsia="宋体" w:cs="黑体"/>
      <w:szCs w:val="22"/>
    </w:rPr>
  </w:style>
  <w:style w:type="paragraph" w:customStyle="1" w:styleId="19">
    <w:name w:val="No Spacing"/>
    <w:link w:val="26"/>
    <w:qFormat/>
    <w:uiPriority w:val="1"/>
    <w:rPr>
      <w:rFonts w:ascii="Calibri" w:hAnsi="Calibri" w:eastAsia="宋体" w:cs="黑体"/>
      <w:kern w:val="0"/>
      <w:sz w:val="22"/>
      <w:szCs w:val="22"/>
      <w:lang w:val="en-US" w:eastAsia="zh-CN" w:bidi="ar-SA"/>
    </w:rPr>
  </w:style>
  <w:style w:type="paragraph" w:customStyle="1" w:styleId="20">
    <w:name w:val="Body text|1"/>
    <w:basedOn w:val="1"/>
    <w:qFormat/>
    <w:uiPriority w:val="0"/>
    <w:pPr>
      <w:widowControl w:val="0"/>
      <w:shd w:val="clear" w:color="auto" w:fill="auto"/>
      <w:spacing w:line="437" w:lineRule="auto"/>
      <w:ind w:firstLine="400"/>
    </w:pPr>
    <w:rPr>
      <w:rFonts w:ascii="宋体" w:hAnsi="宋体" w:eastAsia="宋体" w:cs="宋体"/>
      <w:sz w:val="22"/>
      <w:szCs w:val="22"/>
      <w:u w:val="none"/>
      <w:shd w:val="clear" w:color="auto" w:fill="auto"/>
      <w:lang w:val="zh-TW" w:eastAsia="zh-TW" w:bidi="zh-TW"/>
    </w:rPr>
  </w:style>
  <w:style w:type="character" w:customStyle="1" w:styleId="21">
    <w:name w:val="文档结构图 Char"/>
    <w:basedOn w:val="10"/>
    <w:link w:val="4"/>
    <w:semiHidden/>
    <w:qFormat/>
    <w:uiPriority w:val="99"/>
    <w:rPr>
      <w:rFonts w:ascii="宋体" w:hAnsi="Calibri" w:eastAsia="宋体" w:cs="Times New Roman"/>
      <w:sz w:val="18"/>
      <w:szCs w:val="18"/>
    </w:rPr>
  </w:style>
  <w:style w:type="character" w:customStyle="1" w:styleId="22">
    <w:name w:val="样式2 Char"/>
    <w:basedOn w:val="10"/>
    <w:link w:val="16"/>
    <w:qFormat/>
    <w:uiPriority w:val="0"/>
    <w:rPr>
      <w:rFonts w:ascii="楷体" w:hAnsi="楷体" w:eastAsia="楷体" w:cs="Times New Roman"/>
      <w:sz w:val="28"/>
      <w:szCs w:val="28"/>
    </w:rPr>
  </w:style>
  <w:style w:type="character" w:customStyle="1" w:styleId="23">
    <w:name w:val="样式3 Char"/>
    <w:basedOn w:val="10"/>
    <w:link w:val="17"/>
    <w:qFormat/>
    <w:uiPriority w:val="0"/>
    <w:rPr>
      <w:rFonts w:ascii="仿宋" w:hAnsi="仿宋" w:eastAsia="仿宋" w:cs="Times New Roman"/>
      <w:sz w:val="28"/>
      <w:szCs w:val="28"/>
    </w:rPr>
  </w:style>
  <w:style w:type="character" w:customStyle="1" w:styleId="24">
    <w:name w:val="页眉 Char"/>
    <w:basedOn w:val="10"/>
    <w:link w:val="7"/>
    <w:qFormat/>
    <w:uiPriority w:val="99"/>
    <w:rPr>
      <w:rFonts w:ascii="Calibri" w:hAnsi="Calibri" w:eastAsia="宋体" w:cs="Times New Roman"/>
      <w:sz w:val="18"/>
      <w:szCs w:val="18"/>
    </w:rPr>
  </w:style>
  <w:style w:type="character" w:customStyle="1" w:styleId="25">
    <w:name w:val="页脚 Char"/>
    <w:basedOn w:val="10"/>
    <w:link w:val="6"/>
    <w:qFormat/>
    <w:uiPriority w:val="99"/>
    <w:rPr>
      <w:rFonts w:ascii="Calibri" w:hAnsi="Calibri" w:eastAsia="宋体" w:cs="Times New Roman"/>
      <w:sz w:val="18"/>
      <w:szCs w:val="18"/>
    </w:rPr>
  </w:style>
  <w:style w:type="character" w:customStyle="1" w:styleId="26">
    <w:name w:val="无间隔 Char"/>
    <w:basedOn w:val="10"/>
    <w:link w:val="19"/>
    <w:qFormat/>
    <w:uiPriority w:val="1"/>
    <w:rPr>
      <w:kern w:val="0"/>
      <w:sz w:val="22"/>
    </w:rPr>
  </w:style>
  <w:style w:type="character" w:customStyle="1" w:styleId="27">
    <w:name w:val="批注框文本 Char"/>
    <w:basedOn w:val="10"/>
    <w:link w:val="5"/>
    <w:semiHidden/>
    <w:qFormat/>
    <w:uiPriority w:val="99"/>
    <w:rPr>
      <w:rFonts w:ascii="Calibri" w:hAnsi="Calibri" w:eastAsia="宋体" w:cs="Times New Roman"/>
      <w:sz w:val="18"/>
      <w:szCs w:val="18"/>
    </w:rPr>
  </w:style>
  <w:style w:type="character" w:customStyle="1" w:styleId="28">
    <w:name w:val="font11"/>
    <w:basedOn w:val="10"/>
    <w:qFormat/>
    <w:uiPriority w:val="0"/>
    <w:rPr>
      <w:rFonts w:hint="eastAsia" w:ascii="仿宋" w:hAnsi="仿宋" w:eastAsia="仿宋" w:cs="仿宋"/>
      <w:color w:val="000000"/>
      <w:sz w:val="21"/>
      <w:szCs w:val="21"/>
      <w:u w:val="none"/>
    </w:rPr>
  </w:style>
  <w:style w:type="character" w:customStyle="1" w:styleId="29">
    <w:name w:val="font51"/>
    <w:basedOn w:val="10"/>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6195</Words>
  <Characters>6718</Characters>
  <Lines>84</Lines>
  <Paragraphs>23</Paragraphs>
  <TotalTime>27</TotalTime>
  <ScaleCrop>false</ScaleCrop>
  <LinksUpToDate>false</LinksUpToDate>
  <CharactersWithSpaces>7009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2021-04-23T02:00:00Z</dcterms:created>
  <dc:creator>PC</dc:creator>
  <cp:lastModifiedBy>Administrator</cp:lastModifiedBy>
  <cp:lastPrinted>2023-07-25T08:37:52Z</cp:lastPrinted>
  <dcterms:modified xsi:type="dcterms:W3CDTF">2023-07-25T08:58:45Z</dcterms:modified>
  <dc:title>2020年度武汉临空港经济技术开发区高新技术产业建设管理办公室整体绩效自评结果</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0E72CF6EC503485294D33864393945A8</vt:lpwstr>
  </property>
</Properties>
</file>